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633d8k.htm"/>
      <w:bookmarkStart w:id="1" w:name="ksd16863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Faeth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001-39980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83-1863385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701 Tillery Street, #12, #1010</w:t>
            </w:r>
          </w:p>
          <w:p>
            <w:pPr>
              <w:pStyle w:val="TableContents"/>
              <w:bidi w:val="0"/>
              <w:spacing w:before="0" w:after="20"/>
              <w:jc w:val="center"/>
              <w:rPr>
                <w:rFonts w:ascii="Times New Roman" w:hAnsi="Times New Roman"/>
                <w:b/>
                <w:sz w:val="20"/>
              </w:rPr>
            </w:pPr>
            <w:r>
              <w:rPr>
                <w:rFonts w:ascii="Times New Roman" w:hAnsi="Times New Roman"/>
                <w:b/>
                <w:sz w:val="20"/>
              </w:rPr>
              <w:t>Austin, TX</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78702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(512) 200-2982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5295" w:type="dxa"/>
        <w:jc w:val="left"/>
        <w:tblInd w:w="0" w:type="dxa"/>
        <w:tblLayout w:type="fixed"/>
        <w:tblCellMar>
          <w:top w:w="0" w:type="dxa"/>
          <w:left w:w="0" w:type="dxa"/>
          <w:bottom w:w="0" w:type="dxa"/>
          <w:right w:w="0" w:type="dxa"/>
        </w:tblCellMar>
      </w:tblPr>
      <w:tblGrid>
        <w:gridCol w:w="1520"/>
        <w:gridCol w:w="60"/>
        <w:gridCol w:w="605"/>
        <w:gridCol w:w="60"/>
        <w:gridCol w:w="305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FTH</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4, 2026, Faeth Therapeutics, Inc. issued a press release announcing its financial results for the quarter ended June 30, 2026.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and the exhibit attached hereto are being furnished and shall not be deemed “filed” for the purposes of Section 18 of the Securities Exchange Act of 1934, as amended (the “Exchange Act”), or otherwise subject to the liabilities of that section, nor shall they be deemed incorporated by reference into any filing under the Exchange Act or the Securities Act of 1933, as amended, whether filed before or after the date hereof and regardless of any general incorporation language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890"/>
        <w:gridCol w:w="120"/>
        <w:gridCol w:w="777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7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left"/>
              <w:rPr>
                <w:b/>
              </w:rPr>
            </w:pPr>
            <w:r>
              <w:rPr>
                <w:b/>
              </w:rPr>
              <w:t>Exhibit</w:t>
              <w:br/>
              <w:t>Number</w:t>
            </w:r>
          </w:p>
        </w:tc>
        <w:tc>
          <w:tcPr>
            <w:tcW w:w="120" w:type="dxa"/>
            <w:tcBorders/>
            <w:vAlign w:val="center"/>
          </w:tcPr>
          <w:p>
            <w:pPr>
              <w:pStyle w:val="TableContents"/>
              <w:bidi w:val="0"/>
              <w:spacing w:before="0" w:after="283"/>
              <w:jc w:val="left"/>
              <w:rPr/>
            </w:pPr>
            <w:r>
              <w:rPr/>
              <w:t>  </w:t>
            </w:r>
          </w:p>
        </w:tc>
        <w:tc>
          <w:tcPr>
            <w:tcW w:w="77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Exhibit 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89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hyperlink w:anchor="d168633dex991.htm">
              <w:r>
                <w:rPr>
                  <w:rStyle w:val="InternetLink"/>
                </w:rPr>
                <w:t xml:space="preserve">Press Release of Faeth Therapeutics, Inc., dated August 4,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89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76" w:type="dxa"/>
        <w:jc w:val="left"/>
        <w:tblInd w:w="0" w:type="dxa"/>
        <w:tblLayout w:type="fixed"/>
        <w:tblCellMar>
          <w:top w:w="0" w:type="dxa"/>
          <w:left w:w="0" w:type="dxa"/>
          <w:bottom w:w="0" w:type="dxa"/>
          <w:right w:w="0" w:type="dxa"/>
        </w:tblCellMar>
      </w:tblPr>
      <w:tblGrid>
        <w:gridCol w:w="2075"/>
        <w:gridCol w:w="60"/>
        <w:gridCol w:w="23"/>
        <w:gridCol w:w="60"/>
        <w:gridCol w:w="23"/>
        <w:gridCol w:w="60"/>
        <w:gridCol w:w="297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b/>
              </w:rPr>
            </w:pPr>
            <w:r>
              <w:rPr>
                <w:b/>
              </w:rPr>
              <w:t>Sensei Biotherapeutics,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W. Gerry</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Christopher W. Gerry</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68633dex991.htm"/>
      <w:bookmarkStart w:id="3" w:name="ksd168633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Faeth Therapeutics Reports Second Quarter 2026 Financial Results and Operational Updates </w:t>
      </w:r>
    </w:p>
    <w:p>
      <w:pPr>
        <w:pStyle w:val="TextBody"/>
        <w:bidi w:val="0"/>
        <w:spacing w:before="120" w:after="0"/>
        <w:jc w:val="left"/>
        <w:rPr/>
      </w:pPr>
      <w:r>
        <w:rPr/>
        <w:t xml:space="preserve">— </w:t>
      </w:r>
      <w:r>
        <w:rPr>
          <w:rFonts w:ascii="Times New Roman" w:hAnsi="Times New Roman"/>
          <w:i/>
          <w:sz w:val="20"/>
        </w:rPr>
        <w:t xml:space="preserve">Topline results from the Phase 2 PIK-201 trial in endometrial cancer on track for year-end — </w:t>
      </w:r>
    </w:p>
    <w:p>
      <w:pPr>
        <w:pStyle w:val="TextBody"/>
        <w:bidi w:val="0"/>
        <w:spacing w:before="120" w:after="0"/>
        <w:jc w:val="left"/>
        <w:rPr/>
      </w:pPr>
      <w:r>
        <w:rPr/>
        <w:t xml:space="preserve">— </w:t>
      </w:r>
      <w:r>
        <w:rPr>
          <w:rFonts w:ascii="Times New Roman" w:hAnsi="Times New Roman"/>
          <w:i/>
          <w:sz w:val="20"/>
        </w:rPr>
        <w:t xml:space="preserve">First patient dosed in the Phase 1b/2 PIK-101 trial in HR+ breast cancer — </w:t>
      </w:r>
    </w:p>
    <w:p>
      <w:pPr>
        <w:pStyle w:val="TextBody"/>
        <w:bidi w:val="0"/>
        <w:spacing w:before="120" w:after="0"/>
        <w:jc w:val="left"/>
        <w:rPr/>
      </w:pPr>
      <w:r>
        <w:rPr/>
        <w:t xml:space="preserve">— </w:t>
      </w:r>
      <w:r>
        <w:rPr>
          <w:rFonts w:ascii="Times New Roman" w:hAnsi="Times New Roman"/>
          <w:i/>
          <w:sz w:val="20"/>
        </w:rPr>
        <w:t xml:space="preserve">Company changed name to Faeth Therapeutics, Inc. on June 15, 2026; common stock began trading under the ticker symbol “FTH” on June 16, 2026 — </w:t>
      </w:r>
    </w:p>
    <w:p>
      <w:pPr>
        <w:pStyle w:val="TextBody"/>
        <w:bidi w:val="0"/>
        <w:spacing w:before="240" w:after="0"/>
        <w:jc w:val="left"/>
        <w:rPr>
          <w:rFonts w:ascii="Times New Roman" w:hAnsi="Times New Roman"/>
          <w:sz w:val="20"/>
        </w:rPr>
      </w:pPr>
      <w:r>
        <w:rPr>
          <w:rFonts w:ascii="Times New Roman" w:hAnsi="Times New Roman"/>
          <w:sz w:val="20"/>
        </w:rPr>
        <w:t xml:space="preserve">AUSTIN, Texas—(BUSINESS WIRE)—August 4, 2026— Faeth Therapeutics (Nasdaq: FTH), a clinical-stage oncology company developing PIKTOR, an investigational all-oral, multi-node inhibitor of the PI3K/AKT/mTOR pathway, today announced financial results for the quarter ended June 30, 2026, and highlighted recent corporate accomplishments and 2026 milestones. </w:t>
      </w:r>
    </w:p>
    <w:p>
      <w:pPr>
        <w:pStyle w:val="TextBody"/>
        <w:bidi w:val="0"/>
        <w:spacing w:before="240" w:after="0"/>
        <w:jc w:val="left"/>
        <w:rPr/>
      </w:pPr>
      <w:r>
        <w:rPr/>
        <w:t>“</w:t>
      </w:r>
      <w:r>
        <w:rPr>
          <w:rFonts w:ascii="Times New Roman" w:hAnsi="Times New Roman"/>
          <w:sz w:val="20"/>
        </w:rPr>
        <w:t xml:space="preserve">Our combination with Sensei Biotherapeutics marked an important milestone in the history of Faeth Therapeutics,” said Anand Parikh, Chief Executive Officer. “With the concurrent $200 million PIPE financing, we now have the capital to interrogate the multi-nodal hypothesis in multiple cancers. We look forward to reading out topline data from our Phase 2 PIK-201 trial in endometrial cancer, which is expected by year-end.” </w:t>
      </w:r>
    </w:p>
    <w:p>
      <w:pPr>
        <w:pStyle w:val="TextBody"/>
        <w:bidi w:val="0"/>
        <w:spacing w:before="240" w:after="0"/>
        <w:jc w:val="left"/>
        <w:rPr>
          <w:rFonts w:ascii="Times New Roman" w:hAnsi="Times New Roman"/>
          <w:sz w:val="20"/>
        </w:rPr>
      </w:pPr>
      <w:r>
        <w:rPr>
          <w:rFonts w:ascii="Times New Roman" w:hAnsi="Times New Roman"/>
          <w:sz w:val="20"/>
        </w:rPr>
        <w:t xml:space="preserve">Mr. Parikh continued, “We are also excited to have expanded development of PIKTOR into its second indication with the first patient dosed in our PIK-101 trial in HR+ breast cancer in April. We look forward to reporting initial safety and efficacy data from PIK-101 in 2027.” </w:t>
      </w:r>
    </w:p>
    <w:p>
      <w:pPr>
        <w:pStyle w:val="TextBody"/>
        <w:bidi w:val="0"/>
        <w:spacing w:before="360" w:after="0"/>
        <w:jc w:val="center"/>
        <w:rPr>
          <w:rFonts w:ascii="Times New Roman" w:hAnsi="Times New Roman"/>
          <w:b/>
          <w:sz w:val="20"/>
        </w:rPr>
      </w:pPr>
      <w:r>
        <w:rPr>
          <w:rFonts w:ascii="Times New Roman" w:hAnsi="Times New Roman"/>
          <w:b/>
          <w:sz w:val="20"/>
        </w:rPr>
        <w:t xml:space="preserve">Recent Corporate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April, the Company dosed the first patient in its Phase 1b/2 Trial of PIKTOR in HR+/HER2- Advanced Breast Cancer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stockholders approved the conversion of the Series B preferred stock issued in the February 2026 acquisition of Faeth Therapeutics and concurrent private placement into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the Company changed its name to Faeth Therapeutics, Inc. and began trading under the ticker symbol “FTH”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Anand Parikh, Faeth co-founder, was appointed Chairman, President and Chief Executive Officer, and Brian Stephenson, Ph.D., CFA was appointed Chief Financial Officer. Additionally, the board was strengthened with the addition of former FDA Commissioner Stephen M. Hahn, M.D., and Saira Ramasastry.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Cash, Cash Equivalents and Marketable Securities</w:t>
            </w:r>
            <w:r>
              <w:rPr>
                <w:rFonts w:ascii="Times New Roman" w:hAnsi="Times New Roman"/>
                <w:sz w:val="20"/>
              </w:rPr>
              <w:t xml:space="preserve">: Cash, cash equivalents and marketable securities were $186.4 million as of June 30, 2026, as compared to $21.2 million as of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Research and Development Expenses (R&amp;D)</w:t>
            </w:r>
            <w:r>
              <w:rPr>
                <w:rFonts w:ascii="Times New Roman" w:hAnsi="Times New Roman"/>
                <w:sz w:val="20"/>
              </w:rPr>
              <w:t xml:space="preserve">: R&amp;D expenses for the quarter ended June 30, 2026 were $9.2 million, compared to $2.5 million for the quarter ended June 30, 2025. The increase in R&amp;D expenses was primarily driven by clinical trial and manufacturing (CMC) costs supporting the development of PIKTOR, together with higher personnel costs, partially offset by lower clinical trial costs for SNS-101.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General and Administrative Expenses (G&amp;A)</w:t>
            </w:r>
            <w:r>
              <w:rPr>
                <w:rFonts w:ascii="Times New Roman" w:hAnsi="Times New Roman"/>
                <w:sz w:val="20"/>
              </w:rPr>
              <w:t xml:space="preserve">: G&amp;A expenses for the quarter ended June 30, 2026, were $9.2 million, compared to $2.7 million during the quarter ended June 30, 2025. The increase in G&amp;A expense was primarily attributable to increased personnel costs and increased professional fees related to financing and reporting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Net loss was $16.0 million, or $2.84 per basic and diluted share, for the quarter ended June 30, 2026, compared with a net loss of $4.9 million, or $3.91 per basic and diluted share, for the quarter ended June 30, 2025.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Weighted-average common shares outstanding, basic and diluted, were 5,643,222 for the quarter ended June 30, 2026, compared with 1,260,867 for the quarter ended June 30,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1"/>
        <w:gridCol w:w="374"/>
        <w:gridCol w:w="140"/>
        <w:gridCol w:w="995"/>
        <w:gridCol w:w="155"/>
        <w:gridCol w:w="326"/>
        <w:gridCol w:w="140"/>
        <w:gridCol w:w="995"/>
        <w:gridCol w:w="159"/>
      </w:tblGrid>
      <w:tr>
        <w:trPr/>
        <w:tc>
          <w:tcPr>
            <w:tcW w:w="6921"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1"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2751"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9,180</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2,533</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9,205</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2,673</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18,385</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5,206</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(18,385</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(5,206</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2,378</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270</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(16,007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(4,936</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(3.91</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5,643,222</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1,260,867</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Selected Condensed Balance Sheet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0"/>
        <w:gridCol w:w="385"/>
        <w:gridCol w:w="140"/>
        <w:gridCol w:w="808"/>
        <w:gridCol w:w="60"/>
        <w:gridCol w:w="385"/>
        <w:gridCol w:w="241"/>
        <w:gridCol w:w="1262"/>
        <w:gridCol w:w="64"/>
      </w:tblGrid>
      <w:tr>
        <w:trPr/>
        <w:tc>
          <w:tcPr>
            <w:tcW w:w="68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6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26,903</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8,668</w:t>
            </w:r>
          </w:p>
        </w:tc>
        <w:tc>
          <w:tcPr>
            <w:tcW w:w="64" w:type="dxa"/>
            <w:tcBorders/>
            <w:shd w:fill="CCEEFF" w:val="clear"/>
            <w:vAlign w:val="bottom"/>
          </w:tcPr>
          <w:p>
            <w:pPr>
              <w:pStyle w:val="TableContents"/>
              <w:bidi w:val="0"/>
              <w:spacing w:before="0" w:after="283"/>
              <w:jc w:val="left"/>
              <w:rPr/>
            </w:pPr>
            <w:r>
              <w:rPr/>
              <w:t> </w:t>
            </w:r>
          </w:p>
        </w:tc>
      </w:tr>
      <w:tr>
        <w:trPr/>
        <w:tc>
          <w:tcPr>
            <w:tcW w:w="6860"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159,538</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12,516</w:t>
            </w:r>
          </w:p>
        </w:tc>
        <w:tc>
          <w:tcPr>
            <w:tcW w:w="64" w:type="dxa"/>
            <w:tcBorders/>
            <w:vAlign w:val="bottom"/>
          </w:tcPr>
          <w:p>
            <w:pPr>
              <w:pStyle w:val="TableContents"/>
              <w:bidi w:val="0"/>
              <w:spacing w:before="0" w:after="283"/>
              <w:jc w:val="left"/>
              <w:rPr/>
            </w:pPr>
            <w:r>
              <w:rPr/>
              <w:t> </w:t>
            </w:r>
          </w:p>
        </w:tc>
      </w:tr>
      <w:tr>
        <w:trPr/>
        <w:tc>
          <w:tcPr>
            <w:tcW w:w="6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189,306</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22,902</w:t>
            </w:r>
          </w:p>
        </w:tc>
        <w:tc>
          <w:tcPr>
            <w:tcW w:w="64" w:type="dxa"/>
            <w:tcBorders/>
            <w:shd w:fill="CCEEFF" w:val="clear"/>
            <w:vAlign w:val="bottom"/>
          </w:tcPr>
          <w:p>
            <w:pPr>
              <w:pStyle w:val="TableContents"/>
              <w:bidi w:val="0"/>
              <w:spacing w:before="0" w:after="283"/>
              <w:jc w:val="left"/>
              <w:rPr/>
            </w:pPr>
            <w:r>
              <w:rPr/>
              <w:t> </w:t>
            </w:r>
          </w:p>
        </w:tc>
      </w:tr>
      <w:tr>
        <w:trPr/>
        <w:tc>
          <w:tcPr>
            <w:tcW w:w="686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9,581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4,310</w:t>
            </w:r>
          </w:p>
        </w:tc>
        <w:tc>
          <w:tcPr>
            <w:tcW w:w="64" w:type="dxa"/>
            <w:tcBorders/>
            <w:vAlign w:val="bottom"/>
          </w:tcPr>
          <w:p>
            <w:pPr>
              <w:pStyle w:val="TableContents"/>
              <w:bidi w:val="0"/>
              <w:spacing w:before="0" w:after="283"/>
              <w:jc w:val="left"/>
              <w:rPr/>
            </w:pPr>
            <w:r>
              <w:rPr/>
              <w:t> </w:t>
            </w:r>
          </w:p>
        </w:tc>
      </w:tr>
      <w:tr>
        <w:trPr/>
        <w:tc>
          <w:tcPr>
            <w:tcW w:w="6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redeemable convertible preferred stock</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6,767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86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172,958</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18,592</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PIKTOR </w:t>
      </w:r>
    </w:p>
    <w:p>
      <w:pPr>
        <w:pStyle w:val="TextBody"/>
        <w:bidi w:val="0"/>
        <w:spacing w:before="120" w:after="0"/>
        <w:jc w:val="left"/>
        <w:rPr>
          <w:rFonts w:ascii="Times New Roman" w:hAnsi="Times New Roman"/>
          <w:sz w:val="20"/>
        </w:rPr>
      </w:pPr>
      <w:r>
        <w:rPr>
          <w:rFonts w:ascii="Times New Roman" w:hAnsi="Times New Roman"/>
          <w:sz w:val="20"/>
        </w:rPr>
        <w:t xml:space="preserve">PIKTOR is an investigational, proprietary, all-oral combination of serabelisib, a selective PI3K-alpha inhibitor, and sapanisertib, an mTORC1/mTORC2 inhibitor, designed to inhibit multiple nodes of the PI3K/AKT/mTOR pathway. According to published literature, this pathway is dysregulated in up to 50% of all solid tumors, making it one of the most prevalent therapeutic targets in oncology. PIKTOR is being evaluated in a Phase 2 trial in second-line advanced endometrial cancer (Study FTH-PIK-201), with topline data anticipated in the second half of 2026. PIKTOR is also being evaluated in a Phase 1b/2 trial in HR+/HER2- advanced breast cancer (Study FTH-PIK-101), in which the first patient was dosed in April 2026 and interim data is anticipated in 2027.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About Faeth Therapeutics </w:t>
      </w:r>
    </w:p>
    <w:p>
      <w:pPr>
        <w:pStyle w:val="TextBody"/>
        <w:bidi w:val="0"/>
        <w:spacing w:before="120" w:after="0"/>
        <w:jc w:val="left"/>
        <w:rPr>
          <w:rFonts w:ascii="Times New Roman" w:hAnsi="Times New Roman"/>
          <w:sz w:val="20"/>
        </w:rPr>
      </w:pPr>
      <w:r>
        <w:rPr>
          <w:rFonts w:ascii="Times New Roman" w:hAnsi="Times New Roman"/>
          <w:sz w:val="20"/>
        </w:rPr>
        <w:t>Faeth Therapeutics, Inc. (Nasdaq: FTH) is a clinical-stage biotechnology company focused on improving outcomes for cancer patients through multi-node inhibition of critical oncogenic pathways. The Company’s lead program is PIKTOR, an investigational all-oral combination of serabelisib and sapanisertib in development for endometrial and breast cancer. Faeth was co-founded in 2019 by Anand Parikh and Oliver Maddocks, Ph.D., together with scientific founders Lewis Cantley, Ph.D., the discoverer of the PI3K pathway; Siddhartha Mukherjee, M.D., D.Phil.; Karen Vousden, Ph.D.; Scott Lowe, Ph.D.; and Greg Hannon, Ph.D. For more information, please visit </w:t>
      </w:r>
      <w:r>
        <w:rPr>
          <w:rFonts w:ascii="Times New Roman" w:hAnsi="Times New Roman"/>
          <w:sz w:val="20"/>
          <w:u w:val="single"/>
        </w:rPr>
        <w:t>www.faeththerapeutics.com</w:t>
      </w:r>
      <w:r>
        <w:rPr>
          <w:rFonts w:ascii="Times New Roman" w:hAnsi="Times New Roman"/>
          <w:sz w:val="20"/>
        </w:rPr>
        <w:t> and follow the Company on </w:t>
      </w:r>
      <w:r>
        <w:rPr>
          <w:rFonts w:ascii="Times New Roman" w:hAnsi="Times New Roman"/>
          <w:sz w:val="20"/>
          <w:u w:val="single"/>
        </w:rPr>
        <w:t>LinkedIn</w:t>
      </w:r>
      <w:r>
        <w:rPr>
          <w:rFonts w:ascii="Times New Roman" w:hAnsi="Times New Roman"/>
          <w:sz w:val="20"/>
        </w:rPr>
        <w:t xml:space="preserve">. </w:t>
      </w:r>
    </w:p>
    <w:p>
      <w:pPr>
        <w:pStyle w:val="TextBody"/>
        <w:bidi w:val="0"/>
        <w:spacing w:before="36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federal securities laws, including the safe harbor provisions of the Private Securities Litigation Reform Act of 1995. Forward-looking statements include all statements that are not historical facts and may be identified by words such as “anticipate,” “believe,” “expect,” “intend,” “plan,” “may,” “will,” “would,” “could,” “should,” “estimate,” “potential,” “target,” “on track” and similar expressions, although not all forward-looking statements contain these words. These statements include, but are not limited to, statements regarding: the Company’s expectations regarding its pipeline and development plans, including the Phase 2 trial of PIKTOR in advanced endometrial cancer and the anticipated timing of topline data, and the Phase 1b/2 trial of PIKTOR in HR+/HER2- advanced breast cancer and the anticipated timing of data; the potential therapeutic benefits, tolerability profile and differentiation of PIKTOR; and Faeth’s anticipated cash runway.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management’s current expectations and assumptions and are subject to a number of risks and uncertainties, many of which are beyond the Company’s control, that could cause actual results to differ materially from those expressed or implied. These risks and uncertainties include, among others, risks related to clinical development and the conduct, timing and results of clinical trials; the Company’s cash position and anticipated cash runway; its limited operating history and history of operating losses; risks related to the integration of Faeth; and the other risks and uncertainties described under the headings “Risk Factors” and “Summary of Risk Factors” in the Company’s Annual Report on Form 10-K filed with the Securities and Exchange Commission (the “SEC”) on March 30, 2026, its Quarterly Report on Form 10-Q filed with the SEC on May 15, 2026, and its definitive proxy statement filed with the SEC on April 27, 2026, as well as in the Company’s subsequent filings. Forward-looking statements speak only as of the date of this press release, and the Company undertakes no obligation to update any forward-looking statement,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View source version on businesswire.com: </w:t>
      </w:r>
      <w:r>
        <w:rPr>
          <w:rFonts w:ascii="Times New Roman" w:hAnsi="Times New Roman"/>
          <w:b/>
          <w:sz w:val="20"/>
        </w:rPr>
        <w:t>[Insert Link]</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Matthew Biegler, SVP, 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matt@faeththerapeutics.com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Patrick Schmidt, Consort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faeththerapeutics@consortpartners.com </w:t>
      </w:r>
    </w:p>
    <w:p>
      <w:pPr>
        <w:pStyle w:val="TextBody"/>
        <w:bidi w:val="0"/>
        <w:spacing w:before="240" w:after="0"/>
        <w:jc w:val="left"/>
        <w:rPr>
          <w:rFonts w:ascii="Times New Roman" w:hAnsi="Times New Roman"/>
          <w:sz w:val="20"/>
        </w:rPr>
      </w:pPr>
      <w:r>
        <w:rPr>
          <w:rFonts w:ascii="Times New Roman" w:hAnsi="Times New Roman"/>
          <w:sz w:val="20"/>
        </w:rPr>
        <w:t xml:space="preserve">Source: Faeth Therapeutics,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1768</Words>
  <Characters>10030</Characters>
  <CharactersWithSpaces>11932</CharactersWithSpaces>
  <Paragraphs>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