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se-20260630.htm"/>
      <w:bookmarkStart w:id="1" w:name="kssnse20260630"/>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001-39980</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Faeth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83-1863385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701 Tillery Street</w:t>
            </w:r>
            <w:r>
              <w:rPr>
                <w:rFonts w:ascii="Times New Roman" w:hAnsi="Times New Roman"/>
                <w:color w:val="000000"/>
                <w:sz w:val="20"/>
              </w:rPr>
              <w:t xml:space="preserve"> </w:t>
            </w:r>
            <w:r>
              <w:rPr>
                <w:rFonts w:ascii="Times New Roman" w:hAnsi="Times New Roman"/>
                <w:b/>
                <w:color w:val="000000"/>
                <w:sz w:val="18"/>
              </w:rPr>
              <w:t>#12 #1010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Austin,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78702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(512) 200-2982</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FTH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As of July 30, 2026, the registrant had 25,840,425</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
        <w:gridCol w:w="8939"/>
        <w:gridCol w:w="512"/>
      </w:tblGrid>
      <w:tr>
        <w:trPr/>
        <w:tc>
          <w:tcPr>
            <w:tcW w:w="754" w:type="dxa"/>
            <w:tcBorders/>
            <w:vAlign w:val="center"/>
          </w:tcPr>
          <w:p>
            <w:pPr>
              <w:pStyle w:val="TableContents"/>
              <w:bidi w:val="0"/>
              <w:spacing w:before="0" w:after="283"/>
              <w:jc w:val="left"/>
              <w:rPr>
                <w:sz w:val="4"/>
                <w:szCs w:val="4"/>
              </w:rPr>
            </w:pPr>
            <w:r>
              <w:rPr>
                <w:sz w:val="4"/>
                <w:szCs w:val="4"/>
              </w:rPr>
            </w:r>
          </w:p>
        </w:tc>
        <w:tc>
          <w:tcPr>
            <w:tcW w:w="893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563C1"/>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563C1"/>
                  <w:sz w:val="20"/>
                  <w:u w:val="single"/>
                </w:rPr>
                <w:t>Condensed Consolidated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563C1"/>
                  <w:sz w:val="20"/>
                  <w:u w:val="single"/>
                </w:rPr>
                <w:t>Condensed Consolidated Balance Sheets as of June 30, 2026 and December 31, 2025</w:t>
              </w:r>
            </w:hyperlink>
            <w:hyperlink w:anchor="condensed_consolidated_balance_sheets">
              <w:r>
                <w:rPr>
                  <w:rStyle w:val="InternetLink"/>
                  <w:rFonts w:ascii="Times New Roman" w:hAnsi="Times New Roman"/>
                  <w:color w:val="0563C1"/>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563C1"/>
                  <w:sz w:val="20"/>
                  <w:u w:val="single"/>
                </w:rPr>
                <w:t>Condensed Consolidated 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563C1"/>
                  <w:sz w:val="20"/>
                  <w:u w:val="single"/>
                </w:rPr>
                <w:t>Condensed Consolidated Statements of Redeemable Convertible Preferred Stock, Common Stock and Stockholders’</w:t>
              </w:r>
            </w:hyperlink>
            <w:hyperlink w:anchor="stockholders_equity">
              <w:r>
                <w:rPr>
                  <w:rStyle w:val="InternetLink"/>
                  <w:rFonts w:ascii="Times New Roman" w:hAnsi="Times New Roman"/>
                  <w:color w:val="0563C1"/>
                  <w:sz w:val="20"/>
                </w:rPr>
                <w:t xml:space="preserve"> </w:t>
              </w:r>
            </w:hyperlink>
            <w:hyperlink w:anchor="stockholders_equity">
              <w:r>
                <w:rPr>
                  <w:rStyle w:val="InternetLink"/>
                  <w:rFonts w:ascii="Times New Roman" w:hAnsi="Times New Roman"/>
                  <w:color w:val="0563C1"/>
                  <w:sz w:val="20"/>
                  <w:u w:val="single"/>
                </w:rPr>
                <w:t>Equity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80"/>
                  <w:sz w:val="20"/>
                  <w:u w:val="single"/>
                </w:rPr>
                <w:t>Condensed Consolidated Statements of Cash Flows</w:t>
              </w:r>
            </w:hyperlink>
            <w:hyperlink w:anchor="condensed_consolidated_statements_operat">
              <w:r>
                <w:rPr>
                  <w:rStyle w:val="InternetLink"/>
                  <w:rFonts w:ascii="Times New Roman" w:hAnsi="Times New Roman"/>
                  <w:color w:val="000080"/>
                  <w:sz w:val="20"/>
                  <w:u w:val="single"/>
                </w:rPr>
                <w:t xml:space="preserve"> for the</w:t>
              </w:r>
            </w:hyperlink>
            <w:hyperlink w:anchor="condensed_consolidated_statements_operat">
              <w:r>
                <w:rPr>
                  <w:rStyle w:val="InternetLink"/>
                  <w:rFonts w:ascii="Times New Roman" w:hAnsi="Times New Roman"/>
                  <w:color w:val="0563C1"/>
                  <w:sz w:val="20"/>
                </w:rPr>
                <w:t xml:space="preserve"> </w:t>
              </w:r>
            </w:hyperlink>
            <w:r>
              <w:rPr>
                <w:rFonts w:ascii="Times New Roman" w:hAnsi="Times New Roman"/>
                <w:color w:val="0563C1"/>
                <w:sz w:val="20"/>
              </w:rPr>
              <w:t>three and six months ended June 30, 2026 and 2025</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563C1"/>
                  <w:sz w:val="20"/>
                  <w:u w:val="single"/>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563C1"/>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563C1"/>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_financial_statement_sche">
              <w:r>
                <w:rPr>
                  <w:rStyle w:val="InternetLink"/>
                  <w:rFonts w:ascii="Times New Roman" w:hAnsi="Times New Roman"/>
                  <w:color w:val="0563C1"/>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FAETH THERAPEUTICS,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41"/>
        <w:gridCol w:w="146"/>
        <w:gridCol w:w="211"/>
        <w:gridCol w:w="841"/>
        <w:gridCol w:w="166"/>
        <w:gridCol w:w="146"/>
        <w:gridCol w:w="212"/>
        <w:gridCol w:w="849"/>
        <w:gridCol w:w="393"/>
      </w:tblGrid>
      <w:tr>
        <w:trPr/>
        <w:tc>
          <w:tcPr>
            <w:tcW w:w="7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financing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employee benefits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w:t>
            </w:r>
          </w:p>
        </w:tc>
        <w:tc>
          <w:tcPr>
            <w:tcW w:w="3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redeemable convertible preferred stock, $0.0001 par value; 502 and zero shares authorized as of June 30, 2026 and December 31, 2025, respectively; 502 and zero shares issued and outstanding as of June 30, 2026, and December 31, 2025, respectively; liquidation value of $0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and 10,000,000 shares authorized as of June 30, 2026 and December 31, 2025; zero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300,000,000 shares authorized as of June 30, 2026 and 12,500,000 shares authorized as of December 31, 2025; 25,832,969 and 1,261,685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301,728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(283,137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liabilities, redeemable convertible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FAETH THERAPEUTICS, INC.</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11"/>
        <w:gridCol w:w="931"/>
        <w:gridCol w:w="166"/>
        <w:gridCol w:w="146"/>
        <w:gridCol w:w="211"/>
        <w:gridCol w:w="931"/>
        <w:gridCol w:w="166"/>
        <w:gridCol w:w="146"/>
        <w:gridCol w:w="211"/>
        <w:gridCol w:w="931"/>
        <w:gridCol w:w="166"/>
        <w:gridCol w:w="146"/>
        <w:gridCol w:w="211"/>
        <w:gridCol w:w="931"/>
        <w:gridCol w:w="59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FAETH THERAPEUTICS, INC.</w:t>
      </w:r>
    </w:p>
    <w:p>
      <w:pPr>
        <w:pStyle w:val="TextBody"/>
        <w:bidi w:val="0"/>
        <w:jc w:val="center"/>
        <w:rPr>
          <w:rFonts w:ascii="Times New Roman" w:hAnsi="Times New Roman"/>
          <w:b/>
          <w:color w:val="000000"/>
          <w:sz w:val="20"/>
        </w:rPr>
      </w:pPr>
      <w:bookmarkStart w:id="6" w:name="stockholders_equity"/>
      <w:bookmarkEnd w:id="6"/>
      <w:r>
        <w:rPr>
          <w:rFonts w:ascii="Times New Roman" w:hAnsi="Times New Roman"/>
          <w:b/>
          <w:color w:val="000000"/>
          <w:sz w:val="20"/>
        </w:rPr>
        <w:t>CONDENSED CONSOLIDATED STATEMENTS OF REDEEMABLE CONVERTIBLE PREFERRED STOCK, COMMON STOCK AND STOCKHOLDERS’ EQUITY</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color w:val="000000"/>
          <w:sz w:val="19"/>
        </w:rPr>
        <w:t>Unaudited)</w:t>
      </w:r>
    </w:p>
    <w:p>
      <w:pPr>
        <w:pStyle w:val="TextBody"/>
        <w:bidi w:val="0"/>
        <w:jc w:val="center"/>
        <w:rPr>
          <w:rFonts w:ascii="Times New Roman" w:hAnsi="Times New Roman"/>
          <w:sz w:val="20"/>
        </w:rPr>
      </w:pPr>
      <w:r>
        <w:rPr>
          <w:rFonts w:ascii="Times New Roman" w:hAnsi="Times New Roman"/>
          <w:b/>
          <w:color w:val="000000"/>
          <w:sz w:val="19"/>
        </w:rPr>
        <w:t>(In thousands, except share data)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For the six months ended June 30, 2026 and 2025</w:t>
      </w:r>
    </w:p>
    <w:p>
      <w:pPr>
        <w:pStyle w:val="TextBody"/>
        <w:bidi w:val="0"/>
        <w:jc w:val="center"/>
        <w:rPr/>
      </w:pPr>
      <w:r>
        <w:rPr/>
        <w:t> </w:t>
      </w:r>
    </w:p>
    <w:tbl>
      <w:tblPr>
        <w:tblW w:w="10828" w:type="dxa"/>
        <w:jc w:val="left"/>
        <w:tblInd w:w="0" w:type="dxa"/>
        <w:tblLayout w:type="fixed"/>
        <w:tblCellMar>
          <w:top w:w="28" w:type="dxa"/>
          <w:left w:w="28" w:type="dxa"/>
          <w:bottom w:w="28" w:type="dxa"/>
          <w:right w:w="28" w:type="dxa"/>
        </w:tblCellMar>
      </w:tblPr>
      <w:tblGrid>
        <w:gridCol w:w="1296"/>
        <w:gridCol w:w="146"/>
        <w:gridCol w:w="146"/>
        <w:gridCol w:w="571"/>
        <w:gridCol w:w="151"/>
        <w:gridCol w:w="146"/>
        <w:gridCol w:w="181"/>
        <w:gridCol w:w="646"/>
        <w:gridCol w:w="151"/>
        <w:gridCol w:w="146"/>
        <w:gridCol w:w="146"/>
        <w:gridCol w:w="796"/>
        <w:gridCol w:w="151"/>
        <w:gridCol w:w="146"/>
        <w:gridCol w:w="216"/>
        <w:gridCol w:w="415"/>
        <w:gridCol w:w="146"/>
        <w:gridCol w:w="146"/>
        <w:gridCol w:w="187"/>
        <w:gridCol w:w="624"/>
        <w:gridCol w:w="151"/>
        <w:gridCol w:w="146"/>
        <w:gridCol w:w="207"/>
        <w:gridCol w:w="739"/>
        <w:gridCol w:w="151"/>
        <w:gridCol w:w="146"/>
        <w:gridCol w:w="467"/>
        <w:gridCol w:w="629"/>
        <w:gridCol w:w="151"/>
        <w:gridCol w:w="146"/>
        <w:gridCol w:w="207"/>
        <w:gridCol w:w="739"/>
        <w:gridCol w:w="396"/>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Series B Redeemable Convertible Preferred 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1,258,940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300,451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38,386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Surrender of shares for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Vesting of restricted stock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1,260,318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300,909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(268,916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31,987</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Cash-in-lieu of fractional shares for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1,261,290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301,177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(273,852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27,314</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1,261,685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301,728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(283,137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18,592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12,898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Issuance of Series B redeemable convertible preferred stock in connection with the acquisition of Faeth Therapeutics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145,384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Fair value of the Assumed Options that relates to the pre-combination service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Issuance of Series B redeemable convertible preferred stock in connection with private placement,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183,092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Vesting of restricted stock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Exercise of options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77,143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(170,236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(170,236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328,476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1,340,333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316,111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(453,373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(137,286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Conversion of Series B redeemable convertible preferred stock into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(321,709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24,435,594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321,707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321,709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Exercise of stock options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57,042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(16,007</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25,832,969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642,399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(469,380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172,958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FAETH THERAPEUTICS,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875"/>
        <w:gridCol w:w="146"/>
        <w:gridCol w:w="238"/>
        <w:gridCol w:w="912"/>
        <w:gridCol w:w="201"/>
        <w:gridCol w:w="177"/>
        <w:gridCol w:w="238"/>
        <w:gridCol w:w="803"/>
        <w:gridCol w:w="615"/>
      </w:tblGrid>
      <w:tr>
        <w:trPr/>
        <w:tc>
          <w:tcPr>
            <w:tcW w:w="6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(186,243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financing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Acquired in-process research and development from the acquisition of Faeth Therapeutics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132,957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Compensation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(26,406</w:t>
            </w:r>
          </w:p>
        </w:tc>
        <w:tc>
          <w:tcPr>
            <w:tcW w:w="2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(13,003</w:t>
            </w:r>
          </w:p>
        </w:tc>
        <w:tc>
          <w:tcPr>
            <w:tcW w:w="6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(158,560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assumed in the acquisition of Faeth Therapeutics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(139,502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payments for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sale of financing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Series B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costs from the private placement issuance of Series B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(16,908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employee restricted stock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stock purchase plan proceeds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in lieu of fractional shares for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options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184,143</w:t>
            </w:r>
          </w:p>
        </w:tc>
        <w:tc>
          <w:tcPr>
            <w:tcW w:w="2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6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26,903</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12,557</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financing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Series B redeemable convertible preferred stock issued for the acquisition of Faeth Therapeutics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assets acquired in the acquisition of Faeth Therapeutics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Series B Preferred Stock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321,709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FAETH THERAPEUTICS, INC.</w:t>
      </w:r>
    </w:p>
    <w:p>
      <w:pPr>
        <w:pStyle w:val="TextBody"/>
        <w:bidi w:val="0"/>
        <w:spacing w:before="240" w:after="283"/>
        <w:jc w:val="center"/>
        <w:rPr>
          <w:rFonts w:ascii="Times New Roman" w:hAnsi="Times New Roman"/>
          <w:sz w:val="20"/>
        </w:rPr>
      </w:pPr>
      <w:bookmarkStart w:id="8" w:name="notes_to_condensed_consolidated_financia"/>
      <w:bookmarkEnd w:id="8"/>
      <w:r>
        <w:rPr>
          <w:rFonts w:ascii="Times New Roman" w:hAnsi="Times New Roman"/>
          <w:b/>
          <w:caps/>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Faeth Therapeutics, Inc. (formerly known as Sensei Biotherapeutics, Inc.) (the "Company"), a clinical-stage biotechnology company, was originally incorporated in Maryland in 1999 and subsequently reincorporated in Delaware on December 1, 2017.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17, 2026, the Company acquired Faeth Holdings Therapeutics, Inc. ("Faeth HoldCo") and its wholly owned subsidiary Faeth Therapeutics, LLC ("Faeth Subsidiary" and, together with Faeth HoldCo, "Legacy Faeth") pursuant to an Agreement and Plan of Merger (the "Merger Agreement"), dated as of February 17, 2026, by and among the Company, its merger subsidiaries and Legacy Faeth (such transaction, the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15, 2026, the Company changed its name from Sensei Biotherapeutics, Inc. to Faeth Therapeutics, Inc. The Company is focused on improving outcomes for cancer patients through multi-node inhibition of critical oncogenic pathways.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its inception, the Company has devoted substantially all of its resources to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inception, the Company has incurred substantial losses and had a net loss of $186.2 million for the six months ended June 30, 2026. As of June 30, 2026, the Company had an accumulated deficit of $469.4 million. The Company expects to generate operating losses and negative operating cash flows for the foreseeable future.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will need additional financing to support its continuing operations and pursue its current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that its cash, cash equivalents and marketable securities as of June 30, 2026 of $186.4 million will be sufficient to fund its operations for at least the next twelve months from the date of issuance of these financial statements. In February 2026, the Company completed a private placement financing through the sale of Series B Non-Voting Redeemable Convertible Preferred Stock (the "Series B Preferred Stock"), resulting in gross proceeds of $200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10, 2026, the Company obtained stockholder approval for the automatic conversion of its Series B Preferred Stock into Common Stock in accordance with Nasdaq listing rules. On June 15, 2026, 24,435.594 shares of Series B Preferred Stock automatically converted into an aggregate of 24,435,594 shares of Common Stock. Such converted shares were thereafter retired and, as a result, 24,435.594 shares resumed the status of authorized but unissued shares of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Certificate of Designation (as defined below), conversion is subject to beneficial ownership limitations that prevent any holder from converting shares if such conversion would result in the holder and its affiliates beneficially owning more than 9.99% of the Company’s outstanding Common Stock. As of June 30, 2026, 501.899 shares of Series B Preferred Stock remain outstanding as a result of these blocker provisions. These remaining shares will convert into shares of Common Stock from time to time as holders sell down their positions or otherwise remain below their applicable beneficial ownership limitations.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prepared the accompanying condensed consolidated financial statements in conformity with generally accepted accounting principles in the United States (“US GAAP”). The condensed consolidated financial statements include those accounts of the Company and its subsidiaries after elimination of all intercompany accounts and transactions. Certain reclassifications have been made to amounts presented in our condensed consolidated statements of operations and comprehensive loss for the period ended June 30, 2025 to conform to the presentation for the period ended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of the Company included herein have been prepared pursuant to the rules and regulations of the Securities and Exchange Commission (“SEC”). The accompanying condensed consolidated financial statements reflect all adjustments, consisting of normal, recurring adjustments, that are necessary for a fair presentation of the financial position, results of operations, statement of stockholders’ equity, and cash flows for the interim periods presented. Certain information and note disclosures normally included in financial statements prepared in accordance with US GAAP have been condensed or omitted from these condensed consolidated financial statements, as is permitted by such rules and regulations. Accordingly, these condensed consolidated financial statements should be read in conjunction with the financial statements and notes thereto included in the Company’s Annual Report on Form 10-K for the year ended December 31, 2025. The results for any interim period are not necessarily indicative of results for any future period.</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presented. Estimates are used for, but are not limited to, stock-based compensation, accrued research and development expenses, depreciation of equipment, fair value of financial instruments, contingencies, and the valuation of consideration transferred in the acquisition of Faeth Therapeutics. Actual results may differ from those estimates.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equivalents are highly liquid investments with an original maturity of 90 days or less at the date of purchase and consist of time deposits, commercial paper, corporate bonds, and investments in money market funds with commercial banks and financial institutions. As of June 30, 2026, cash and cash equivalents included cash on deposit at commercial banks and a money market fund that invests in U.S. Government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consist of marketable securities with original maturities greater than 90 days at the date of purchase.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(Level 2). Unrealized gains and losses are reported as the accumulated other comprehensive items in stockholders’ equity. Amortization and accretion of premiums and discounts are recorded in other income (expense). Realized gains or losses on debt securities are included in interest income or interest expense, respectively. If any adjustment to fair value reflects a decline in value of the investment, the Company considers all available evidence to evaluate the extent to which the decline is other than temporary and, if so, marks the investment to market on the Company’s statement of operations and comprehensive loss.</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are recorded at cost and depreciated or amortized over the estimated useful lives of the assets. Repairs or maintenance costs are expensed as incurred. Depreciation is computed using the straight-line method over the following estimated useful lives: </w:t>
      </w:r>
    </w:p>
    <w:tbl>
      <w:tblPr>
        <w:tblW w:w="4127" w:type="dxa"/>
        <w:jc w:val="left"/>
        <w:tblInd w:w="0" w:type="dxa"/>
        <w:tblLayout w:type="fixed"/>
        <w:tblCellMar>
          <w:top w:w="28" w:type="dxa"/>
          <w:left w:w="28" w:type="dxa"/>
          <w:bottom w:w="28" w:type="dxa"/>
          <w:right w:w="28" w:type="dxa"/>
        </w:tblCellMar>
      </w:tblPr>
      <w:tblGrid>
        <w:gridCol w:w="2866"/>
        <w:gridCol w:w="1261"/>
      </w:tblGrid>
      <w:tr>
        <w:trPr/>
        <w:tc>
          <w:tcPr>
            <w:tcW w:w="286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Office equipment and furniture</w:t>
            </w:r>
          </w:p>
        </w:tc>
        <w:tc>
          <w:tcPr>
            <w:tcW w:w="12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3—7 years</w:t>
            </w:r>
          </w:p>
        </w:tc>
      </w:tr>
      <w:tr>
        <w:trPr/>
        <w:tc>
          <w:tcPr>
            <w:tcW w:w="28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Research equipment</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 years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Leasehold improvements are depreciated over the shorter of their useful life or the life of the lease.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Acquired In-Process Research and Development Expense</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 process research and development (“IPR&amp;D”). Acquired IPR&amp;D that has no alternative future use as of the acquisition date is recognized as research and development expense as of the acquisition date.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Redeemable Convertible 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classified its redeemable convertible preferred stock as temporary equity in the accompanying balance sheets due to redemption provisions that are outside of the control of the Company. Subsequent adjustments of the carrying values to the redemption values will be made only when it becomes probable that such a change in control event will occur. The Company did not accrete the carrying values of the redeemable convertible preferred stock to the redemption values as redemption was contingent on shareholder approval, which was obtained on June 10, 2026.</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Preferred Stock Warrants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accounts for its redeemable convertible preferred share warrants issued in connection with its various financing transactions based upon the characteristics and provisions of the instrument. Warrants that have been determined to be classified as liabilities are recorded on the balance sheet as a long-term liability at their fair value on the date of issuance and remeasured to fair value at each reporting period, with the changes in fair value recognized in the change in fair value of warrant liabilities, net in the statements of operations and comprehensive loss. The Company adjusted the liability for changes in the fair value of these warrants until the earlier of the exercise of the warrants, the expiration of the warrants, or until such time as the warrants are no longer considered a liability.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manages its operations as a single segment, dedicated to improving outcomes for cancer patients by developing novel therapeutics, including through multi-node inhibition of critical oncogenic pathways. The Company’s Chief Operating Decision Maker (“CODM”), the Chief Executive Officer (“CEO”), reviews the operating results on an aggregate basis and manages the operations as a single operating segment. The CODM oversees performance assessment and resource allocation by reviewing net loss as reported in the Company’s consolidated statement of operations to guide operational decisions, strategic planning, and forecasting for future periods. To support this oversight, operating expenses are closely tracked to compare budget against actual results. As a single reporting segment, the significant operating expense categories regularly provided to the CODM include research and development, and general and administrative expenses. These expense categories are reported as separate line items in the Company’s consolidated statements of operations. All segment assets are reflected as ‘total assets’ in the consolidated balance sheet. All equipment, leasehold improvements, and fixed assets are located in the United States, and agreements with partners are denominated in U.S. dollars, unless otherwise noted.</w:t>
      </w:r>
    </w:p>
    <w:p>
      <w:pPr>
        <w:pStyle w:val="TextBody"/>
        <w:bidi w:val="0"/>
        <w:spacing w:before="3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lease inception, the Company determines if an arrangement is or contains a lease, and if so, assesses the lease for classification as either an operating or finance lease.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leased asset is of such a specialized nature that it is expected to have no alternative use to the lessor at the end of the lease. A lease is classified as an operating lease if it does not meet any of these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Leases with a term greater than one year are recognized on the balance sheet as right-of-use (“ROU”) assets and current and non-current lease liabilities, as applicable. Leases with a term of one year or less are expensed as rent in the period incurred. The Company elected not to separate lease and non-lease components for all underlying assets. As most of the Company’s leases do not provide an implicit rate, the Company uses its incremental borrowing rate based on the information available at the commencement date in determining the present value of lease payments. The incremental borrowing rate is determined by using the rate of interest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would pay to borrow on a collateralized basis an amount equal to the lease payments for a similar term and in a similar economic environment. Lease terms include options to extend or terminate the lease when it is reasonably certain that the Company will exercise the options. For leases that existed prior to the adoption of Accounting Standards Update No. 2016-02, Leases (Topic 842) (“ASC 842”), the Company used the remaining lease term to determine the appropriate incremental borrowing rate.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Financial Accounting Standards Board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assessing the impact this standard will have on its condensed consolidated financial statements.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ACQUISITION OF FAETH AND PIPE ISSUANCE</w:t>
      </w:r>
    </w:p>
    <w:p>
      <w:pPr>
        <w:pStyle w:val="TextBody"/>
        <w:bidi w:val="0"/>
        <w:jc w:val="left"/>
        <w:rPr/>
      </w:pPr>
      <w:r>
        <w:rPr/>
        <w:t> </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On February 17, 2026, the Company acquired Faeth Therapeutics pursuant to the Merger Agreement.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Under the terms of the Merger Agreement, the Company issued to the stockholders of Faeth an aggregate of 10,497.0980 shares of Series B Preferred Stock, par value $0.0001 per share, representing 10,497,098 shares of common stock of the Company, par value $0.0001 per share (“Common Stock”), on an as-converted-to-common basis and without giving effect to any beneficial ownership limitations. The outstanding warrant to purchase shares of Faeth Subsidiary capital stock was converted into a warrant to purchase an aggregate of 2.1020 shares of Series B Preferred Stock, representing a warrant to purchase 2,102 shares of Common Stock on an as-converted-to-common basis and without giving effect to any beneficial ownership limitations. In addition, all outstanding options to purchase Faeth Subsidiary common stock were assumed by the Company and were converted into options to purchase an aggregate of 252,210 shares of Common Stock (the “Assumed Options”). In connection with the Acquisition, stock options to purchase 6,338,670 shares of Faeth common stock, held by certain Faeth employees, were immediately exercised by the Faeth employees, of which 4,273,182 options had their vesting accelerated. Faeth HoldCo paid $15.6 million to cover tax liabilities created by such exercise of the options.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Concurrently with the acquisition of Faeth Therapeutics, on February 17, 2026, the Company entered into a Securities Purchase Agreement (the “Purchase Agreement”) with new and returning investors to raise $200.0 million of gross proceeds in which investors were issued an aggregate of 14,440.395 shares of Series B Preferred Stock, or 14,440,395 on an as-converted-to-common basis (without giving effect to any beneficial ownership limitations) at a price of $13,850 per share, or $13.85 per share on an as-converted-to-common basis, (collectively, the “2026 Private Placement”). The 2026 Private Placement closed on February 20, 2026.</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Following the receipt of stockholder approval on June 10, 2026, each share of Series B Preferred Stock automatically converted into 1,000 shares of Common Stock, subject to certain beneficial ownership limitations established by each holder (pursuant to which 501.899 shares of Series B Preferred Stock remain unconverted as of June 30, 2026). As a result of the transactions, equityholders of the Company immediately prior to the acquisition owned approximately 4.9% of the Common Stock, equityholders of Faeth Therapeutics immediately prior to the acquisition owned approximately 40.6% of the Common Stock, and investors in the 2026 Private Placement owned approximately 54.5% of the Common Stock, in each case, calculated on a fully-diluted, as-converted-to-common basis (without giving effect to any beneficial ownership limitations) using the treasury stock method and based on the implied equity values of the Company and Faeth Therapeutics.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Acquisition was accounted for as an asset acquisition with the Company as the accounting acquirer. Upon completion of the Acquisition and the 2026 Private Placement, the Company obtained control of Faeth’s assets, consisting primarily of cash, prepayments of tax gross-up payments related to the accelerated vesting of options held by Faeth employees prior to the Acquisition, and acquired IPR&amp;D. In accordance with Accounting Standards Codification Topic 805, Business Combinations (“ASC 805”), under the asset acquisition method of accounting, the assets acquired and liabilities assumed are recognized and measured at fair value and no goodwill is recorded or recognized. Acquired IPR&amp;D that has no future alternative use is expensed at the time of acquisition.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estimated fair value of the consideration transferred of $145.8 million is summarized as follows (in thousands):</w:t>
      </w:r>
    </w:p>
    <w:tbl>
      <w:tblPr>
        <w:tblW w:w="4232" w:type="dxa"/>
        <w:jc w:val="left"/>
        <w:tblInd w:w="0" w:type="dxa"/>
        <w:tblLayout w:type="fixed"/>
        <w:tblCellMar>
          <w:top w:w="28" w:type="dxa"/>
          <w:left w:w="28" w:type="dxa"/>
          <w:bottom w:w="28" w:type="dxa"/>
          <w:right w:w="28" w:type="dxa"/>
        </w:tblCellMar>
      </w:tblPr>
      <w:tblGrid>
        <w:gridCol w:w="2611"/>
        <w:gridCol w:w="146"/>
        <w:gridCol w:w="146"/>
        <w:gridCol w:w="146"/>
        <w:gridCol w:w="211"/>
        <w:gridCol w:w="781"/>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 xml:space="preserve">The fair value of the consideration transferred was measured using the price per share the investors paid as part of the 2026 Private Placement. The Assumed Options reflects the portion of the acquisition date fair-value based measure that relates to the pre-combination service period.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 summarizes the allocation of the estimated fair value of the consideration transferred to the net assets acquired by the Company (in thousands):</w:t>
      </w:r>
    </w:p>
    <w:tbl>
      <w:tblPr>
        <w:tblW w:w="6027" w:type="dxa"/>
        <w:jc w:val="left"/>
        <w:tblInd w:w="0" w:type="dxa"/>
        <w:tblLayout w:type="fixed"/>
        <w:tblCellMar>
          <w:top w:w="28" w:type="dxa"/>
          <w:left w:w="28" w:type="dxa"/>
          <w:bottom w:w="28" w:type="dxa"/>
          <w:right w:w="28" w:type="dxa"/>
        </w:tblCellMar>
      </w:tblPr>
      <w:tblGrid>
        <w:gridCol w:w="4206"/>
        <w:gridCol w:w="146"/>
        <w:gridCol w:w="146"/>
        <w:gridCol w:w="146"/>
        <w:gridCol w:w="211"/>
        <w:gridCol w:w="781"/>
        <w:gridCol w:w="391"/>
      </w:tblGrid>
      <w:tr>
        <w:trPr/>
        <w:tc>
          <w:tcPr>
            <w:tcW w:w="4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employee benefits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consideration transferred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80"/>
        <w:jc w:val="both"/>
        <w:rPr>
          <w:rFonts w:ascii="Times New Roman" w:hAnsi="Times New Roman"/>
          <w:color w:val="000000"/>
          <w:sz w:val="20"/>
        </w:rPr>
      </w:pPr>
      <w:r>
        <w:rPr>
          <w:rFonts w:ascii="Times New Roman" w:hAnsi="Times New Roman"/>
          <w:color w:val="000000"/>
          <w:sz w:val="20"/>
        </w:rPr>
        <w:t xml:space="preserve">The Company recognized $4.8 million of research and development expenses and $6.2 million of general and administrative expenses related to the accelerated vesting of 4,273,182 options held by Faeth employees prior to the Acquisition during the six months ended June 30, 2026.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Company recognized $9.1 million of research and development expenses and $6.5 million of general and administrative expenses for tax gross-up payments related to the vesting of these options. The Company acquired $11.4 million of prepaid expenses related to the tax gross-up payments included in the net assets acquired by the Company, which were recognized as expense during the six months ended June 30, 2026. The tax gross-up payments are not in scope for accounting under ASC 718 and are recognized in the period in which they are incurred.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For the Assumed Options that were not vested as of the Acquisition, the Company recognized $0.7 million and $0.1 million of general and administrative and research and development expenses respectively during the six months ended June 30, 2026.</w:t>
      </w:r>
    </w:p>
    <w:p>
      <w:pPr>
        <w:pStyle w:val="TextBody"/>
        <w:bidi w:val="0"/>
        <w:jc w:val="left"/>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Marketable securities consist of the following as of June 30, 2026 and December 31, 2025 (in thousands): </w:t>
      </w:r>
    </w:p>
    <w:tbl>
      <w:tblPr>
        <w:tblW w:w="8494" w:type="dxa"/>
        <w:jc w:val="left"/>
        <w:tblInd w:w="0" w:type="dxa"/>
        <w:tblLayout w:type="fixed"/>
        <w:tblCellMar>
          <w:top w:w="28" w:type="dxa"/>
          <w:left w:w="28" w:type="dxa"/>
          <w:bottom w:w="28" w:type="dxa"/>
          <w:right w:w="28" w:type="dxa"/>
        </w:tblCellMar>
      </w:tblPr>
      <w:tblGrid>
        <w:gridCol w:w="1606"/>
        <w:gridCol w:w="146"/>
        <w:gridCol w:w="301"/>
        <w:gridCol w:w="1124"/>
        <w:gridCol w:w="146"/>
        <w:gridCol w:w="146"/>
        <w:gridCol w:w="596"/>
        <w:gridCol w:w="979"/>
        <w:gridCol w:w="146"/>
        <w:gridCol w:w="146"/>
        <w:gridCol w:w="587"/>
        <w:gridCol w:w="1048"/>
        <w:gridCol w:w="166"/>
        <w:gridCol w:w="146"/>
        <w:gridCol w:w="217"/>
        <w:gridCol w:w="803"/>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159,601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159,538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8495" w:type="dxa"/>
        <w:jc w:val="left"/>
        <w:tblInd w:w="0" w:type="dxa"/>
        <w:tblLayout w:type="fixed"/>
        <w:tblCellMar>
          <w:top w:w="28" w:type="dxa"/>
          <w:left w:w="28" w:type="dxa"/>
          <w:bottom w:w="28" w:type="dxa"/>
          <w:right w:w="28" w:type="dxa"/>
        </w:tblCellMar>
      </w:tblPr>
      <w:tblGrid>
        <w:gridCol w:w="1606"/>
        <w:gridCol w:w="146"/>
        <w:gridCol w:w="338"/>
        <w:gridCol w:w="1087"/>
        <w:gridCol w:w="146"/>
        <w:gridCol w:w="146"/>
        <w:gridCol w:w="788"/>
        <w:gridCol w:w="788"/>
        <w:gridCol w:w="146"/>
        <w:gridCol w:w="146"/>
        <w:gridCol w:w="715"/>
        <w:gridCol w:w="920"/>
        <w:gridCol w:w="166"/>
        <w:gridCol w:w="146"/>
        <w:gridCol w:w="242"/>
        <w:gridCol w:w="778"/>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all marketable securities held by the Company had remaining contractual maturities of one year or less.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impairments of the Company’s assets measured and carried at fair value during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 immaterial amount of unrealized losses were associated with marketable securities with contractual maturities of one year or less.</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FAIR VALUE MEASUREMENTS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tbl>
      <w:tblPr>
        <w:tblW w:w="7490" w:type="dxa"/>
        <w:jc w:val="left"/>
        <w:tblInd w:w="0" w:type="dxa"/>
        <w:tblLayout w:type="fixed"/>
        <w:tblCellMar>
          <w:top w:w="28" w:type="dxa"/>
          <w:left w:w="28" w:type="dxa"/>
          <w:bottom w:w="28" w:type="dxa"/>
          <w:right w:w="28" w:type="dxa"/>
        </w:tblCellMar>
      </w:tblPr>
      <w:tblGrid>
        <w:gridCol w:w="2671"/>
        <w:gridCol w:w="146"/>
        <w:gridCol w:w="211"/>
        <w:gridCol w:w="676"/>
        <w:gridCol w:w="146"/>
        <w:gridCol w:w="146"/>
        <w:gridCol w:w="211"/>
        <w:gridCol w:w="781"/>
        <w:gridCol w:w="146"/>
        <w:gridCol w:w="146"/>
        <w:gridCol w:w="277"/>
        <w:gridCol w:w="458"/>
        <w:gridCol w:w="146"/>
        <w:gridCol w:w="146"/>
        <w:gridCol w:w="211"/>
        <w:gridCol w:w="78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159,538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183,927</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003" w:type="dxa"/>
        <w:jc w:val="left"/>
        <w:tblInd w:w="0" w:type="dxa"/>
        <w:tblLayout w:type="fixed"/>
        <w:tblCellMar>
          <w:top w:w="28" w:type="dxa"/>
          <w:left w:w="28" w:type="dxa"/>
          <w:bottom w:w="28" w:type="dxa"/>
          <w:right w:w="28" w:type="dxa"/>
        </w:tblCellMar>
      </w:tblPr>
      <w:tblGrid>
        <w:gridCol w:w="2191"/>
        <w:gridCol w:w="146"/>
        <w:gridCol w:w="230"/>
        <w:gridCol w:w="622"/>
        <w:gridCol w:w="159"/>
        <w:gridCol w:w="159"/>
        <w:gridCol w:w="230"/>
        <w:gridCol w:w="737"/>
        <w:gridCol w:w="159"/>
        <w:gridCol w:w="159"/>
        <w:gridCol w:w="278"/>
        <w:gridCol w:w="457"/>
        <w:gridCol w:w="159"/>
        <w:gridCol w:w="159"/>
        <w:gridCol w:w="230"/>
        <w:gridCol w:w="737"/>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20,412</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among Level 1, Level 2 or Level 3 categories in the six months ended June 30, 2026 and 2025.</w:t>
      </w:r>
    </w:p>
    <w:p>
      <w:pPr>
        <w:pStyle w:val="TextBody"/>
        <w:bidi w:val="0"/>
        <w:spacing w:before="360" w:after="283"/>
        <w:jc w:val="left"/>
        <w:rPr>
          <w:rFonts w:ascii="Times New Roman" w:hAnsi="Times New Roman"/>
          <w:sz w:val="20"/>
        </w:rPr>
      </w:pPr>
      <w:r>
        <w:rPr>
          <w:rFonts w:ascii="Times New Roman" w:hAnsi="Times New Roman"/>
          <w:b/>
          <w:i/>
          <w:color w:val="000000"/>
          <w:sz w:val="20"/>
        </w:rPr>
        <w:t>Preferred Stock Warrant Liability</w:t>
      </w:r>
      <w:r>
        <w:rPr>
          <w:rFonts w:ascii="Times New Roman" w:hAnsi="Times New Roman"/>
          <w:color w:val="000000"/>
          <w:sz w:val="20"/>
        </w:rPr>
        <w:t xml:space="preserve">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In September 2021, Faeth issued 10,550 warrants (the “Warrants”) to Western Alliance Bank (“Western Alliance”) to purchase shares of redeemable convertible Preferred Stock, at an exercise price of $1.42177. Western Alliance can exercise the Warrants until the termination of the agreement on September 6, 2031. Under the terms of the Merger Agreement, the Warrants were converted into warrants to purchase 2.1020 shares of Series B Preferred Stock. No Warrants were exercised as of June 30,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concluded that the Warrants required liability classification based on the guidance in ASC 480. The Warrants were recorded at fair value using the Black-Scholes method with the following inputs: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246" w:type="dxa"/>
        <w:jc w:val="left"/>
        <w:tblInd w:w="0" w:type="dxa"/>
        <w:tblLayout w:type="fixed"/>
        <w:tblCellMar>
          <w:top w:w="28" w:type="dxa"/>
          <w:left w:w="28" w:type="dxa"/>
          <w:bottom w:w="28" w:type="dxa"/>
          <w:right w:w="28" w:type="dxa"/>
        </w:tblCellMar>
      </w:tblPr>
      <w:tblGrid>
        <w:gridCol w:w="1186"/>
        <w:gridCol w:w="1079"/>
        <w:gridCol w:w="397"/>
        <w:gridCol w:w="1268"/>
        <w:gridCol w:w="316"/>
      </w:tblGrid>
      <w:tr>
        <w:trPr/>
        <w:tc>
          <w:tcPr>
            <w:tcW w:w="11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ended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equity volatility</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80"/>
        <w:jc w:val="left"/>
        <w:rPr>
          <w:rFonts w:ascii="Times New Roman" w:hAnsi="Times New Roman"/>
          <w:color w:val="000000"/>
          <w:sz w:val="20"/>
        </w:rPr>
      </w:pPr>
      <w:r>
        <w:rPr>
          <w:rFonts w:ascii="Times New Roman" w:hAnsi="Times New Roman"/>
          <w:color w:val="000000"/>
          <w:sz w:val="20"/>
        </w:rPr>
        <w:t>The following table presents a roll-forward of the aggregate fair values of the Preferred Stock Warrant Liability (in thousands):</w:t>
      </w:r>
    </w:p>
    <w:tbl>
      <w:tblPr>
        <w:tblW w:w="5951" w:type="dxa"/>
        <w:jc w:val="left"/>
        <w:tblInd w:w="0" w:type="dxa"/>
        <w:tblLayout w:type="fixed"/>
        <w:tblCellMar>
          <w:top w:w="28" w:type="dxa"/>
          <w:left w:w="28" w:type="dxa"/>
          <w:bottom w:w="28" w:type="dxa"/>
          <w:right w:w="28" w:type="dxa"/>
        </w:tblCellMar>
      </w:tblPr>
      <w:tblGrid>
        <w:gridCol w:w="2344"/>
        <w:gridCol w:w="193"/>
        <w:gridCol w:w="193"/>
        <w:gridCol w:w="1513"/>
        <w:gridCol w:w="1517"/>
        <w:gridCol w:w="191"/>
      </w:tblGrid>
      <w:tr>
        <w:trPr/>
        <w:tc>
          <w:tcPr>
            <w:tcW w:w="23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Warrant 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0"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February 17, 2026</w:t>
            </w:r>
          </w:p>
        </w:tc>
        <w:tc>
          <w:tcPr>
            <w:tcW w:w="1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0"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tbl>
      <w:tblPr>
        <w:tblW w:w="6715" w:type="dxa"/>
        <w:jc w:val="left"/>
        <w:tblInd w:w="0" w:type="dxa"/>
        <w:tblLayout w:type="fixed"/>
        <w:tblCellMar>
          <w:top w:w="28" w:type="dxa"/>
          <w:left w:w="28" w:type="dxa"/>
          <w:bottom w:w="28" w:type="dxa"/>
          <w:right w:w="28" w:type="dxa"/>
        </w:tblCellMar>
      </w:tblPr>
      <w:tblGrid>
        <w:gridCol w:w="4051"/>
        <w:gridCol w:w="146"/>
        <w:gridCol w:w="219"/>
        <w:gridCol w:w="501"/>
        <w:gridCol w:w="166"/>
        <w:gridCol w:w="146"/>
        <w:gridCol w:w="333"/>
        <w:gridCol w:w="762"/>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Depreciation and amortization expense for the six months ended June 30, 2026 and 2025 was $54 thousand and $62 thousand, respectively.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six months ended June 30, 2025, the Company disposed of all research equipment through the sale of fixed assets, resulting in a reduction of the gross carrying amount to zero. The related accumulated depreciation of $1,078 thousand was written off in connection with this disposal. A gain of $23 thousand was recognized on the sale and is included in the other income (expense) line in the condensed consolidated statements of operations and comprehensive loss for the period.</w:t>
      </w:r>
    </w:p>
    <w:p>
      <w:pPr>
        <w:pStyle w:val="TextBody"/>
        <w:bidi w:val="0"/>
        <w:spacing w:before="120" w:after="283"/>
        <w:jc w:val="left"/>
        <w:rPr>
          <w:rFonts w:ascii="Times New Roman" w:hAnsi="Times New Roman"/>
          <w:sz w:val="20"/>
        </w:rPr>
      </w:pPr>
      <w:r>
        <w:rPr>
          <w:rFonts w:ascii="Times New Roman" w:hAnsi="Times New Roman"/>
          <w:b/>
          <w:caps/>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leases office and laboratory facilities under operating leases, which expire at various dates through 2027. The Company has $0.7 million in letters of credit outstanding as security on certain of these leases. As part of its adoption of ASC 842, the Company recorded operating ROU assets and operating lease liabilities for these leases as of January 1, 2022. The Company elected the short-term lease recognition exemption for operating leases with an initial term of less than 12 months and therefore did not recognize the lease on the Company’s balance sheet. Rent expense was recognized on a straight-line basis over the lease term. Short-term lease expense for the six months ended June 30, 2026 and 2025 was $0.1 million and immaterial,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Finance Leases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previously leased research equipment and furniture under finance leases, which were disposed of or reached the end of their terms during the six months ended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contains a summary of the lease costs recognized under ASC 842 pertaining to the Company’s finance and operating leases for the six months ended June 30, 2026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05" w:type="dxa"/>
        <w:jc w:val="left"/>
        <w:tblInd w:w="0" w:type="dxa"/>
        <w:tblLayout w:type="fixed"/>
        <w:tblCellMar>
          <w:top w:w="28" w:type="dxa"/>
          <w:left w:w="28" w:type="dxa"/>
          <w:bottom w:w="28" w:type="dxa"/>
          <w:right w:w="28" w:type="dxa"/>
        </w:tblCellMar>
      </w:tblPr>
      <w:tblGrid>
        <w:gridCol w:w="3216"/>
        <w:gridCol w:w="146"/>
        <w:gridCol w:w="301"/>
        <w:gridCol w:w="817"/>
        <w:gridCol w:w="208"/>
        <w:gridCol w:w="208"/>
        <w:gridCol w:w="301"/>
        <w:gridCol w:w="817"/>
        <w:gridCol w:w="39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finance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During the six months ended June 30, 2025, the Company disposed of research equipment classified as a ROU asset under a lease agreement. The ROU asset was sold, resulting in a loss of $43 thousand, which is included in the other income (expense) line in the condensed consolidated statements of operations and comprehensive loss for the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contains a summary of other information pertaining to the Company’s finance and operating leases for the three and six months ended June 30, 2026 and 2025 (in thousands, except lease term and discount rate):</w:t>
      </w:r>
    </w:p>
    <w:tbl>
      <w:tblPr>
        <w:tblW w:w="7097" w:type="dxa"/>
        <w:jc w:val="left"/>
        <w:tblInd w:w="0" w:type="dxa"/>
        <w:tblLayout w:type="fixed"/>
        <w:tblCellMar>
          <w:top w:w="28" w:type="dxa"/>
          <w:left w:w="28" w:type="dxa"/>
          <w:bottom w:w="28" w:type="dxa"/>
          <w:right w:w="28" w:type="dxa"/>
        </w:tblCellMar>
      </w:tblPr>
      <w:tblGrid>
        <w:gridCol w:w="3906"/>
        <w:gridCol w:w="146"/>
        <w:gridCol w:w="360"/>
        <w:gridCol w:w="718"/>
        <w:gridCol w:w="249"/>
        <w:gridCol w:w="249"/>
        <w:gridCol w:w="360"/>
        <w:gridCol w:w="718"/>
        <w:gridCol w:w="391"/>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lease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outflows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outflows for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outflows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 years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years</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years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 years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br/>
        <w:t>The following table presents the maturity of the Company’s operating and finance lease liabilities as of June 30, 2026 (in thousands):</w:t>
        <w:br/>
        <w:t> </w:t>
      </w:r>
    </w:p>
    <w:tbl>
      <w:tblPr>
        <w:tblW w:w="5492" w:type="dxa"/>
        <w:jc w:val="left"/>
        <w:tblInd w:w="0" w:type="dxa"/>
        <w:tblLayout w:type="fixed"/>
        <w:tblCellMar>
          <w:top w:w="28" w:type="dxa"/>
          <w:left w:w="28" w:type="dxa"/>
          <w:bottom w:w="28" w:type="dxa"/>
          <w:right w:w="28" w:type="dxa"/>
        </w:tblCellMar>
      </w:tblPr>
      <w:tblGrid>
        <w:gridCol w:w="3181"/>
        <w:gridCol w:w="146"/>
        <w:gridCol w:w="285"/>
        <w:gridCol w:w="571"/>
        <w:gridCol w:w="146"/>
        <w:gridCol w:w="146"/>
        <w:gridCol w:w="312"/>
        <w:gridCol w:w="514"/>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the Company assumed the following licensing agreements, each originally entered into by Faeth, to obtain the right to make, use, and sell licensed products currently in development.</w:t>
      </w:r>
    </w:p>
    <w:p>
      <w:pPr>
        <w:pStyle w:val="TextBody"/>
        <w:bidi w:val="0"/>
        <w:spacing w:before="360" w:after="283"/>
        <w:jc w:val="left"/>
        <w:rPr>
          <w:rFonts w:ascii="Times New Roman" w:hAnsi="Times New Roman"/>
          <w:sz w:val="20"/>
        </w:rPr>
      </w:pPr>
      <w:r>
        <w:rPr>
          <w:rFonts w:ascii="Times New Roman" w:hAnsi="Times New Roman"/>
          <w:b/>
          <w:i/>
          <w:color w:val="000000"/>
          <w:sz w:val="20"/>
        </w:rPr>
        <w:t>Cornell University</w:t>
      </w:r>
      <w:r>
        <w:rPr>
          <w:rFonts w:ascii="Times New Roman" w:hAnsi="Times New Roman"/>
          <w:color w:val="000000"/>
          <w:sz w:val="20"/>
        </w:rPr>
        <w:t xml:space="preserve">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In June 2020, Faeth entered into a license agreement (the “Cornell Agreement”) with Cornell University (“Cornell”), pursuant to which Faeth was granted an exclusive, sublicensable, royalty-bearing license to develop and commercialize products using the licensed combination therapy for PI3K associated diseases and disorders. In connection with the Acquisition, the Company assumed all of Faeth's rights and obligations under the Cornell Agreement. As consideration for the Cornell Agreement, the Company agreed to pay annual license fees of $0.1 million on the anniversary of the agreement. The license fees are recorded as research and development expense in the statements of operations and comprehensive loss as the acquired license represents in-process research and development with no alternative future use. Under the Cornell Agreement, the Company is required to pay up to an aggregate of $6.2 million upon the achievement of certain development and commercial milestones. The Company is also required to pay royalties to Cornell in the low to mid single digit percentage range based on net sales of licensed products. The development milestone payment will be recorded when the milestone is achieved, and the commercial milestone payment and royalties will be recorded when the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occur. During the six months ended June 30, 2026, payments of $0.1 million were made for annual fees. As of June 30, 2026, no milestones were achieved.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Cancer Research Technology Limited (CRT)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In June 2020, Faeth entered into a license agreement (the “CRT Agreement”) with Cancer Research Technology Limited (“CRT”), who is wholly owned by Cancer Research UK, pursuant to which Faeth was granted an exclusive, sublicensable, royalty-bearing license to develop and commercialize Non-Essential Amino Acid Restriction (“NEAAR”, formerly FTH-002), or other products with dietary modulation of amino acids. In connection with the Acquisition, the Company assumed all of Faeth's rights and obligations under the CRT Agreement. As consideration for the CRT Agreement, the Company paid an upfront fee of £0.1 million in 2020 which was recorded as research and development expense in the statements of operations and comprehensive loss as the acquired license represents in-process research and development with no alternative future use. Under the CRT Agreement, the Company is required to pay up to an aggregate of £7.9 million related to the achievement of certain development and commercial milestones and up to an aggregate of £18.1 million related to the achievement of certain partnership milestones. In addition, the Company is required to pay royalties to CRT in the low to mid single-digit percentage range based on net sales of licensed products and sublicense royalty fees in the low double-digit percentage range for any revenue derived from sublicensing. The development milestone payment will be recorded when the milestone is achieved, and the commercial milestone payment, royalties, and sublicense revenues will be recorded when the sales occur. As of June 30, 2026, no milestones have been achieved.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Ravenna Pharmaceuticals (Takeda)</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In February 2021, Faeth entered into an agreement with Ravenna Pharmaceuticals, Inc. (the “Ravenna Agreement”), pursuant to which Faeth was granted intellectual property and existing data and agreements to develop and commercialize serabelisib (formerly FTH-001) and sapanisertib (formerly FTH-003) in exchange for an upfront fee of $0.5 million. In connection with the Acquisition, the Company assumed all of Faeth's rights and obligations under the Ravenna Agreement. The upfront payment was recorded as research and development expense in the statements of operations and comprehensive loss because the acquired assets represented in-process research and development with no alternative future use.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part of the Ravenna Agreement, the Company assumed a license agreement with Takeda that was originally entered into in March 2019 between Takeda Pharmaceutical Company Limited and Petra Pharma Corporation, which was subsequently assigned to Ravenna Pharmaceuticals, Inc. (the “Takeda Agreement”) pursuant to which the Company is required to pay up to an aggregate of $124.0 million related to the achievement of certain development and commercial milestones. The Company is also required to pay royalties to Takeda in the low to mid-single-digit percentage range based on net sales of licensed products. The development milestone payment will be recorded when the milestone is achieved, and the commercial milestone payment, royalties, and sublicense revenues will be recorded when the sales occur. As of June 30, 2026, no milestones have been achieved.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additional consideration under the Takeda Agreement, the Company was required to issue up to $15.0 million in equity to Takeda upon the first dosing in a Phase 3 clinical trial. In January 2026, this provision was renegotiated and removed in its entirety.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Calithera Biosciences (Millennium Takeda)</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In May 2023, Faeth entered into a purchase agreement (the “Calithera Agreement”) with Calithera Biosciences (“Calithera”) under which Faeth was granted intellectual property and existing data and agreements to develop and commercialize serabelisib and sapanisertib. In connection with the Acquisition, the Company assumed all of Faeth's rights and obligations under the Calithera Agreement. As consideration for the Calithera Agreement, the Company paid an upfront fee of $0.4 million. The payments were recorded as research and development expense in the statements of operations and comprehensive loss because the acquired assets represented in-process research and development with no alternative future use.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part of the Calithera Agreement, the Company assumed existing license agreements with the Regents of the University of California (the “University of California Agreement”) and Millennium Pharmaceuticals (the “Millennium Agreement”). Under the University of California Agreement, the Company is required to pay up to an aggregate of $1.0 million per licensed product related to the achievement of certain development and commercial milestones, of which $0.8 million remains unpaid as of June 30, 2026. The Company is also required to pay tiered low single-digit royalties based on net sales of licensed products and a low double-digit percentage based on sublicense income if the Company sublicenses the rights granted under the University of California Agreement. Under the Millennium Agreement, the Company is required to pay up to an aggregate of $119.0 million in development, regulatory and commercial launch milestone payments and up to an aggregate of $250.0 million in sales milestone payments. The Company is also required to pay tiered single-digit royalties based on annual net sales of licensed products. Under both agreements,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development milestone payment will be recorded when the milestone is achieved, and the commercial milestone payment and royalties will be recorded when the sales occur. As of June 30, 2026, no milestones have been achieved under either agreement.</w:t>
      </w:r>
    </w:p>
    <w:p>
      <w:pPr>
        <w:pStyle w:val="TextBody"/>
        <w:bidi w:val="0"/>
        <w:spacing w:before="18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estimated losses from loss contingencies, such as a loss arising from litigation, when it determines that it is probable a liability has been incurred and the amount of loss can be reasonably estimated. Litigation is subject to many factors that are difficult to predict so that there can be no assurance, in the event of a material unfavorable result in one or more claims, the Company will not incur material costs.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8. ACCOUNTS PAYABLE AND CURRENT ACCRUED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Accounts payable and accrued liabilities consist of the following (in thousands):</w:t>
      </w:r>
    </w:p>
    <w:tbl>
      <w:tblPr>
        <w:tblW w:w="4517" w:type="dxa"/>
        <w:jc w:val="left"/>
        <w:tblInd w:w="0" w:type="dxa"/>
        <w:tblLayout w:type="fixed"/>
        <w:tblCellMar>
          <w:top w:w="28" w:type="dxa"/>
          <w:left w:w="28" w:type="dxa"/>
          <w:bottom w:w="28" w:type="dxa"/>
          <w:right w:w="28" w:type="dxa"/>
        </w:tblCellMar>
      </w:tblPr>
      <w:tblGrid>
        <w:gridCol w:w="2011"/>
        <w:gridCol w:w="146"/>
        <w:gridCol w:w="211"/>
        <w:gridCol w:w="571"/>
        <w:gridCol w:w="146"/>
        <w:gridCol w:w="146"/>
        <w:gridCol w:w="294"/>
        <w:gridCol w:w="80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9. redeemable Convertible Preferred stock</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conjunction with the Merger Agreement, on February 17, 2026, the Board of Directors of the Company (the “Board of Directors”) adopted the Certificate of Designation, which authorized the issuance of 25,045 shares of Series B Preferred Stock, par value of $0.0001 per share.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Under the terms of the Merger Agreement, the Company issued to the stockholders of Faeth an aggregate of 10,497.0980 shares of Series B Preferred Stock, representing 10,497,098 shares of Common Stock on an as-converted-to-common basis and without giving effect to any beneficial ownership limitations.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Concurrently with the Acquisition, the Company entered into the Purchase Agreement with new and returning investors to raise $200.0 million of gross proceeds in which investors were issued an aggregate of 14,440.395 shares of Series B Preferred Stock, or 14,440,395 on an as-converted-to-common basis and without giving effect to any beneficial ownership limitations, at a price of $13,850 per share, or $13.85 per share on an as-converted-to-common basis. The 2026 Private Placement closed on February 20, 2026.</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June 10, 2026, the Company obtained stockholder approval of (i) the conversion of the Series B Preferred Stock into shares of Common Stock, (ii) the change of control under Nasdaq listing rules, and (iii) the amendment of the Company’s certificate of incorporation to increase authorized shares of Common Stock to 300,000,000 (collectively, the “Company Stockholder Matters”), and on June 15, 2026, 24,435.594 shares of Series B Preferred Stock automatically converted into 24,435,594 shares of Common Stock. Pursuant to the terms of the Certificate of Designation of Preferences, Rights and Limitations of the Series B Non-Voting Redeemable Convertible Preferred Stock (the “Certificate of Designation”), conversion of the Series B Preferred Stock is subject to beneficial ownership limitations established by each holder. As of June 30, 2026, 501.899 shares of Series B Preferred Stock remain outstanding as a result of these beneficial ownership limitations and continue to be classified in temporary equity.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holders of Preferred Stock have the following rights, preferences and privileges: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Voting Rights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Holders of the Series B Preferred Stock have no voting rights. However, as long as any shares of Series B Preferred Stock are outstanding, the Company shall not, without the affirmative vote of the majority of outstanding shares of Series B Preferred Stock (i) alter or change adversely the powers, preferences or rights given to the Series B Preferred Stock, (ii) issue further shares of Series B Preferred Stock or increase or decrease the number of authorized shares of Series B Preferred Stock, (iii) consummate either a merger or consolidation or other business combination in which stockholders of the Company do not hold at least a majority of the voting power, or (iv) authorize or issue any class or series of stock that has powers, preferences or rights that are senior to those of the Series B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Holders of outstanding shares of Series B Preferred Stock are entitled to receive dividends on shares of Series B Preferred Stock, on an as-converted basis to common stock, equal to and in the same form and manner as dividends paid on shares of common stock.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Liquidation Preference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 the event of any voluntary or involuntary liquidation, dissolution or winding up of the corporation, the holders of shares of the Series B Preferred Stock shall be entitled to receive out of the assets, whether capital or surplus, of the Company the same amount that a holder of common stock would receive if the Series B Preferred Stock were fully converted to common stock and amounts shall be paid pari passu with all holders of Common Stock, plus an additional amount equal to any dividends declared on but unpaid to such shares.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Redemption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Series B Preferred Stock does not have redemption rights. However, if the Company had failed to obtain shareholder approval within six months of the initial issuance of Series B Preferred Stock, shares of Series B Preferred Stock would have become eligible for cash settlement at the option of the holder for a fair value equal to the closing price of the Company’s common stock on the last trading day prior to the date that the notice for cash settlement is delivered from the holder to the Company.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Conversion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Each share of Series B Preferred Stock automatically converted at a conversion ratio of 1,000 shares of common stock for each share of Series B Preferred Stock on June 15, 2026, which was the third business day after stockholder approval of the Company Stockholder Matters. </w:t>
      </w:r>
    </w:p>
    <w:p>
      <w:pPr>
        <w:pStyle w:val="TextBody"/>
        <w:bidi w:val="0"/>
        <w:spacing w:before="200" w:after="283"/>
        <w:jc w:val="left"/>
        <w:rPr>
          <w:rFonts w:ascii="Times New Roman" w:hAnsi="Times New Roman"/>
          <w:b/>
          <w:caps/>
          <w:color w:val="000000"/>
          <w:sz w:val="20"/>
        </w:rPr>
      </w:pPr>
      <w:r>
        <w:rPr>
          <w:rFonts w:ascii="Times New Roman" w:hAnsi="Times New Roman"/>
          <w:b/>
          <w:caps/>
          <w:color w:val="000000"/>
          <w:sz w:val="20"/>
        </w:rPr>
        <w:t>10.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share of common stock entitles the holder to one vote on all matters submitted to a vote of the Company’s stockholders. Common stockholders are not entitled to receive dividends, unless declared by the Board of Directors.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There was no common stock warrant activity related to common stock warrants issued in conjunction with equity and debt fundraising events for the six months ended June 30, 2026. The following is a summary of the common stock warrants outstanding at June 30, 2026 and December 31, 2025:</w:t>
      </w:r>
    </w:p>
    <w:tbl>
      <w:tblPr>
        <w:tblW w:w="8072" w:type="dxa"/>
        <w:jc w:val="left"/>
        <w:tblInd w:w="0" w:type="dxa"/>
        <w:tblLayout w:type="fixed"/>
        <w:tblCellMar>
          <w:top w:w="28" w:type="dxa"/>
          <w:left w:w="28" w:type="dxa"/>
          <w:bottom w:w="28" w:type="dxa"/>
          <w:right w:w="28" w:type="dxa"/>
        </w:tblCellMar>
      </w:tblPr>
      <w:tblGrid>
        <w:gridCol w:w="2941"/>
        <w:gridCol w:w="146"/>
        <w:gridCol w:w="204"/>
        <w:gridCol w:w="801"/>
        <w:gridCol w:w="146"/>
        <w:gridCol w:w="146"/>
        <w:gridCol w:w="211"/>
        <w:gridCol w:w="826"/>
        <w:gridCol w:w="146"/>
        <w:gridCol w:w="146"/>
        <w:gridCol w:w="236"/>
        <w:gridCol w:w="755"/>
        <w:gridCol w:w="146"/>
        <w:gridCol w:w="146"/>
        <w:gridCol w:w="334"/>
        <w:gridCol w:w="551"/>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 xml:space="preserve">of Common </w:t>
              <w:br/>
              <w:t xml:space="preserve">Stock </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aps/>
          <w:color w:val="000000"/>
          <w:sz w:val="20"/>
        </w:rPr>
        <w:t>11. STOCK-BASED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2018 Stock Incentive Plan (the “2018 Plan”) provided for the Company to grant qualified incentive options, nonqualified options, stock grants and other stock-based awards to employees and non-employees to purchase the Company’s common stock. Upon the effectiveness of the 2021 Plan (as defined below), the Company ceased issuing new awards under the 2018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2021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Equity Incentive Plan (the “2021 Plan”) became effective in February 2021. The 2021 Plan provided for the grant of incentive stock options to employees, including employees of any parent or subsidiary corporations, and for the grant of nonstatutory stock options, stock appreciation rights, restricted stock awards, restricted stock unit awards, performance awards and other forms of stock awards to employees, directors, and consultants, including employees and consultants of the Company’s affiliates. Upon the effectiveness of the 2026 Plan (as defined below) on June 10, 2026, the Company ceased issuing new awards under the 2021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2026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2026 Equity Incentive Plan (the “2026 Plan”) became effective on June 10, 2026 upon approval by the Company's stockholders. The 2026 Plan provides for the grant of incentive stock options to employees, including employees of any parent or subsidiary corporations, and for the grant of nonstatutory stock options, stock appreciation rights, restricted stock awards, restricted stock unit awards, performance awards and other forms of stock awards to employees, directors, and consultants, including employees and consultants of the Company's affiliates. The number of shares initially reserved for issuance under the 2026 Plan was 2,671,981 shares, which will automatically increase on January 1 of each calendar year, starting on January 1, 2027 through January 1, 2036, in an amount equal to 5.0% of the total number of shares of the Company's capital stock outstanding on December 31 of the preceding calendar year, or a lesser number of shares determined by the Board of Directors. As of June 30, 2026, 2,376,981 shares remained available for issuance pursuant to the 2026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Accelerated Options From The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17, 2026, in connection with the Acquisition, stock options to purchase 6,338,670 shares of Faeth common stock, held by certain Faeth employees, were immediately exercised by the Faeth employees, of which 4,273,182 options had their vesting accelerated (the “Accelerated Options”). The modification of the terms that resulted in the immediate vesting of the Accelerated Options was executed in contemplation of the Acquisition and did not require continued employment or future service by the option holders. The Company recognized $4.8 million of research and development expenses and $6.2 million of general and administrative expenses upon the Acquisition representing the fair value of the Accelerated Options on the date of the modification.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Assumed Options From The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17, 2026, in connection with the Acquisition, the Company assumed all outstanding and unexercised stock options to purchase an aggregate of 252,210 shares of common stock. The Assumed Options were converted into options to purchase shares of the Company's common stock using an exchange ratio of approximately 0.1993, with exercise prices ranging from $1.16 to $5.22 per share on an as-converted basis. The Company recognized $0.5 million representing the fair value of the Assumed Options attributable to the pre-combination service period as part of the consideration transferred. The remaining unrecognized compensation expense associated with the unvested Assumed Options will be recognized over their remaining service periods, which range from approximately 0.1 to 3.5 years. See Note 3 for additional information regarding the Acquisition.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Inducement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the Company granted inducement nonstatutory stock options to purchase an aggregate of 2,319,891 shares of common stock to former Faeth employees on February 19, 2026, at an exercise price of $27.22 per share, as a material inducement to entering employment with the Company. In addition, on March 11, 2026, the Company granted an inducement nonstatutory stock option to purchase 166,435 shares of common stock at an exercise price of $29.37 per share to a new employee as a material inducement to entering employment with the Company. These stock options will vest over a four-year period, with 25% of the shares underlying each option award vesting on the one-year anniversary of the applicable employees’ new hire date and the remaining 75% of the shares underlying each option award vesting monthly thereafter for three-years. Vesting of each option award is subject to such employee’s continued service with the Company through the applicable vesting dates. These stock options were granted outside of the 2021 Plan as an inducement material to each employee’s acceptance of employment with the Company in accordance with Nasdaq Listing Rule 5635(c)(4).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2026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10, 2026, the Board of Directors adopted the 2026 Inducement Plan, which provides for the grant of nonstatutory stock options, stock appreciation rights, restricted stock awards, restricted stock unit awards, performance awards and other forms of stock awards to new employees as a material inducement to entering employment with the Company. A total of 450,000 shares of common stock are reserved for issuance under the 2026 Inducement Plan. The 2026 Inducement Plan was adopted without stockholder approval in accordance with Nasdaq Listing Rule 5635(c)(4). During the six months ended June 30, 2026, the Company granted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nonstatutory stock options to purchase an aggregate of 199,650 shares of common stock under the 2026 Inducement Plan. As of June 30, 2026, 250,350 shares remained available for issuance pursuant to the 2026 Inducement Plan. </w:t>
      </w:r>
    </w:p>
    <w:p>
      <w:pPr>
        <w:pStyle w:val="TextBody"/>
        <w:bidi w:val="0"/>
        <w:spacing w:before="360" w:after="283"/>
        <w:jc w:val="left"/>
        <w:rPr>
          <w:rFonts w:ascii="Times New Roman" w:hAnsi="Times New Roman"/>
          <w:sz w:val="20"/>
        </w:rPr>
      </w:pPr>
      <w:r>
        <w:rPr>
          <w:rFonts w:ascii="Times New Roman" w:hAnsi="Times New Roman"/>
          <w:b/>
          <w:i/>
          <w:color w:val="000000"/>
          <w:sz w:val="20"/>
        </w:rPr>
        <w:t>2021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Employee Stock Purchase Plan (the “2021 ESPP”) became effective in February 2021. A total of 16,666 shares (333,333 prior to the 1-for-20 reverse stock split of the Company’s issued and outstanding shares of common stock effected on June 16, 2025) of common stock were initially reserved for issuance under the 2021 ESPP. As of June 30, 2026, the Company had issued 12,220 shares under the 2021 ESPP, no shares were issued in six months ended June 30, 2026. Upon the effectiveness of the 2026 ESPP (as defined below) on June 10, 2026, the Company ceased issuing new awards under the 2021 ESPP.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2026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2026 Employee Stock Purchase Plan (the “2026 ESPP”) became effective on June 10, 2026 upon approval by the Company's stockholders. A total of 267,198 shares of common stock were initially reserved for issuance under the 2026 ESPP, which will automatically increase on January 1 of each calendar year, beginning on January 1, 2027 through January 1, 2036, by an amount equal to the lesser of (i) 1.0% of the total shares of common stock outstanding on December 31 of the preceding calendar year and (ii) 534,396 shares, or a lesser number of shares determined by the Board of Directors. The purchase price of the shares under the 2026 ESPP is 85% of the lower of the fair market value of the Company's common stock on the first trading day of the offering period or on the purchase date. As of June 30, 2026, no shares had been issued under the 2026 ESPP.</w:t>
      </w:r>
    </w:p>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options to purchase shares of common stock at a weighted average grant date fair value of $21.04 per share during the six months ended June 30, 2026, including grants under the 2021 Plan, the 2026 Plan, the 2026 Inducement Plan, and inducement grants outside any plan. The Company uses the Black-Scholes option-pricing model to estimate the fair value of the stock options on the applicable grant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summary of option activity for employee awards under the 2018 Plan, the 2021 Plan, the 2026 Plan, the 2026 Inducement Plan, inducement grants outside any plan and the assumed options for the six months ended June 30, 2026: </w:t>
      </w:r>
    </w:p>
    <w:p>
      <w:pPr>
        <w:pStyle w:val="TextBody"/>
        <w:bidi w:val="0"/>
        <w:jc w:val="left"/>
        <w:rPr/>
      </w:pPr>
      <w:r>
        <w:rPr/>
        <w:t> </w:t>
      </w:r>
    </w:p>
    <w:tbl>
      <w:tblPr>
        <w:tblW w:w="9989" w:type="dxa"/>
        <w:jc w:val="left"/>
        <w:tblInd w:w="0" w:type="dxa"/>
        <w:tblLayout w:type="fixed"/>
        <w:tblCellMar>
          <w:top w:w="28" w:type="dxa"/>
          <w:left w:w="28" w:type="dxa"/>
          <w:bottom w:w="28" w:type="dxa"/>
          <w:right w:w="28" w:type="dxa"/>
        </w:tblCellMar>
      </w:tblPr>
      <w:tblGrid>
        <w:gridCol w:w="4476"/>
        <w:gridCol w:w="146"/>
        <w:gridCol w:w="146"/>
        <w:gridCol w:w="931"/>
        <w:gridCol w:w="166"/>
        <w:gridCol w:w="146"/>
        <w:gridCol w:w="211"/>
        <w:gridCol w:w="676"/>
        <w:gridCol w:w="146"/>
        <w:gridCol w:w="146"/>
        <w:gridCol w:w="236"/>
        <w:gridCol w:w="755"/>
        <w:gridCol w:w="146"/>
        <w:gridCol w:w="146"/>
        <w:gridCol w:w="303"/>
        <w:gridCol w:w="822"/>
        <w:gridCol w:w="39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3,448,741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Vested or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of the outstanding stock option awards is calculated as the difference between the exercise price and the market price of the Company’s common stock at June 30, 2026. The aggregate intrinsic value of stock options exercised in the six months ended June 30, 2026 was $2.2 million and there were no option exercises for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grant date fair value of options vested during the six months ended June 30, 2026 and 2025 was $1.1 million and $0.7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2026, there was $62.2 million of unrecognized stock-based compensation expense associated with the stock options, which is expected to be recognized over a weighted-average period of 3.58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granted restricted stock units with service-based vesting conditions.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is a summary of the restricted stock unit activity during the six months ended June 30, 2026:</w:t>
      </w:r>
    </w:p>
    <w:tbl>
      <w:tblPr>
        <w:tblW w:w="6830" w:type="dxa"/>
        <w:jc w:val="left"/>
        <w:tblInd w:w="0" w:type="dxa"/>
        <w:tblLayout w:type="fixed"/>
        <w:tblCellMar>
          <w:top w:w="28" w:type="dxa"/>
          <w:left w:w="28" w:type="dxa"/>
          <w:bottom w:w="28" w:type="dxa"/>
          <w:right w:w="28" w:type="dxa"/>
        </w:tblCellMar>
      </w:tblPr>
      <w:tblGrid>
        <w:gridCol w:w="2701"/>
        <w:gridCol w:w="146"/>
        <w:gridCol w:w="321"/>
        <w:gridCol w:w="1389"/>
        <w:gridCol w:w="166"/>
        <w:gridCol w:w="146"/>
        <w:gridCol w:w="475"/>
        <w:gridCol w:w="1295"/>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2021 Plan, the Company has historically granted restricted stock units which vest annually over a period of one, two, three or four years. The Company granted no restricted stock units during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unrecognized stock-based compensation expense associated with the restricted stock units was immaterial and is expected to be recognized over a weighted-average period of 0.63 years.</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 Warrants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is a summary of the common stock warrant activity during the six months ended June 30, 2026: </w:t>
      </w:r>
    </w:p>
    <w:tbl>
      <w:tblPr>
        <w:tblW w:w="9182" w:type="dxa"/>
        <w:jc w:val="left"/>
        <w:tblInd w:w="0" w:type="dxa"/>
        <w:tblLayout w:type="fixed"/>
        <w:tblCellMar>
          <w:top w:w="28" w:type="dxa"/>
          <w:left w:w="28" w:type="dxa"/>
          <w:bottom w:w="28" w:type="dxa"/>
          <w:right w:w="28" w:type="dxa"/>
        </w:tblCellMar>
      </w:tblPr>
      <w:tblGrid>
        <w:gridCol w:w="4246"/>
        <w:gridCol w:w="146"/>
        <w:gridCol w:w="246"/>
        <w:gridCol w:w="714"/>
        <w:gridCol w:w="146"/>
        <w:gridCol w:w="146"/>
        <w:gridCol w:w="211"/>
        <w:gridCol w:w="676"/>
        <w:gridCol w:w="146"/>
        <w:gridCol w:w="146"/>
        <w:gridCol w:w="236"/>
        <w:gridCol w:w="755"/>
        <w:gridCol w:w="146"/>
        <w:gridCol w:w="146"/>
        <w:gridCol w:w="334"/>
        <w:gridCol w:w="551"/>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Common</w:t>
              <w:br/>
              <w:t>Stock</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and 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was no unrecognized stock-based compensation expense associated with the common stock warrants.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For the six months ended June 30, 2026 and 2025, respectively, the Company utilized the Black-Scholes option-pricing model for estimating the fair value of the stock options and common stock warrants granted. The following table presents the assumptions and the Company’s methodology for developing each of the assumptions used: </w:t>
      </w:r>
    </w:p>
    <w:tbl>
      <w:tblPr>
        <w:tblW w:w="4721" w:type="dxa"/>
        <w:jc w:val="left"/>
        <w:tblInd w:w="0" w:type="dxa"/>
        <w:tblLayout w:type="fixed"/>
        <w:tblCellMar>
          <w:top w:w="28" w:type="dxa"/>
          <w:left w:w="28" w:type="dxa"/>
          <w:bottom w:w="28" w:type="dxa"/>
          <w:right w:w="28" w:type="dxa"/>
        </w:tblCellMar>
      </w:tblPr>
      <w:tblGrid>
        <w:gridCol w:w="1876"/>
        <w:gridCol w:w="146"/>
        <w:gridCol w:w="1243"/>
        <w:gridCol w:w="177"/>
        <w:gridCol w:w="1279"/>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95%-122%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94%-96%</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5.5-6.0</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3.5%-4.3%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Volatility—The Company lacks sufficient Company-specific historical and implied volatility information. Therefore, it estimates its expected stock volatility based on the historical volatility of a publicly traded set of peer companies in addition to its own historical volatility and will continue to do so until it has adequate historical data regarding the volatility of its own traded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term—The Company calculates the expected term of options using the simplified method, as the Company lacks relevant historical data due to the Company’s limited operating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Risk-free interest rate—The risk-free rate for periods within the estimated life of the stock award is based on the U.S. Treasury yield curve in effect at the time of grant.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 rate—The assumed dividend yield is based upon the Company’s expectation of not paying dividends in the foreseeable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Stock-based compensation expense was recorded in the following line items in the condensed consolidated statements of operations for the three and six months ended June 30, 2026 and 2025 (in thousands): </w:t>
      </w:r>
    </w:p>
    <w:tbl>
      <w:tblPr>
        <w:tblW w:w="8411" w:type="dxa"/>
        <w:jc w:val="left"/>
        <w:tblInd w:w="0" w:type="dxa"/>
        <w:tblLayout w:type="fixed"/>
        <w:tblCellMar>
          <w:top w:w="28" w:type="dxa"/>
          <w:left w:w="28" w:type="dxa"/>
          <w:bottom w:w="28" w:type="dxa"/>
          <w:right w:w="28" w:type="dxa"/>
        </w:tblCellMar>
      </w:tblPr>
      <w:tblGrid>
        <w:gridCol w:w="3451"/>
        <w:gridCol w:w="146"/>
        <w:gridCol w:w="280"/>
        <w:gridCol w:w="758"/>
        <w:gridCol w:w="193"/>
        <w:gridCol w:w="193"/>
        <w:gridCol w:w="280"/>
        <w:gridCol w:w="559"/>
        <w:gridCol w:w="146"/>
        <w:gridCol w:w="146"/>
        <w:gridCol w:w="241"/>
        <w:gridCol w:w="773"/>
        <w:gridCol w:w="166"/>
        <w:gridCol w:w="166"/>
        <w:gridCol w:w="241"/>
        <w:gridCol w:w="48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12. EMPLOYEE RETIREMENT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defined contribution 401(k) plan (the “Plan”) for all employees. Under the Plan, participants may make voluntary contributions up to the maximum amount allowable by law. The Plan is based on employees’ salary deferral, and the Company matches employees’ contributions up to 4% of the employees’ base salary. Employees are 100% vested in the Company’s match contributions. During the three months ended June 30, 2026 and 2025, the Company’s matching contributions were less than $0.1 million. During the six months ended June 30, 2026 and 2025, the Company’s matching contributions were less than $0.1 million and $0.1 million, respectively.</w:t>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13. COMPENSATION AND EMPLOYEE BENEFITS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Compensation and employee benefits consist of the following (in thousands):</w:t>
      </w:r>
    </w:p>
    <w:tbl>
      <w:tblPr>
        <w:tblW w:w="6482" w:type="dxa"/>
        <w:jc w:val="left"/>
        <w:tblInd w:w="0" w:type="dxa"/>
        <w:tblLayout w:type="fixed"/>
        <w:tblCellMar>
          <w:top w:w="28" w:type="dxa"/>
          <w:left w:w="28" w:type="dxa"/>
          <w:bottom w:w="28" w:type="dxa"/>
          <w:right w:w="28" w:type="dxa"/>
        </w:tblCellMar>
      </w:tblPr>
      <w:tblGrid>
        <w:gridCol w:w="3976"/>
        <w:gridCol w:w="146"/>
        <w:gridCol w:w="211"/>
        <w:gridCol w:w="571"/>
        <w:gridCol w:w="146"/>
        <w:gridCol w:w="146"/>
        <w:gridCol w:w="294"/>
        <w:gridCol w:w="801"/>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incentive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 compensation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compensation related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14. </w:t>
      </w:r>
      <w:r>
        <w:rPr>
          <w:rFonts w:ascii="Times New Roman" w:hAnsi="Times New Roman"/>
          <w:b/>
          <w:caps/>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no provision for income taxes for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 assets and deferred tax liabilities are recognized based on temporary differences between the financial reporting and tax bases of assets and liabilities using statutory rates. Management of the Company has evaluated the positive and negative evidence bearing upon the realizability of its deferred tax assets, which are comprised principally of net operating loss carryforwards, equity-based compensation, research and development tax credit carryforwards, and capitalized research and development expenditures. Under the applicable accounting standards, management has considered the Company’s history of losses and concluded that it is more likely than not that the Company will not recognize the benefits of federal and state deferred tax assets. Accordingly, a full valuation allowance has been established against the Company’s otherwise recognizable net deferred tax assets.</w:t>
      </w:r>
    </w:p>
    <w:p>
      <w:pPr>
        <w:pStyle w:val="TextBody"/>
        <w:bidi w:val="0"/>
        <w:spacing w:before="360" w:after="283"/>
        <w:jc w:val="left"/>
        <w:rPr>
          <w:rFonts w:ascii="Times New Roman" w:hAnsi="Times New Roman"/>
          <w:sz w:val="20"/>
        </w:rPr>
      </w:pPr>
      <w:r>
        <w:rPr>
          <w:rFonts w:ascii="Times New Roman" w:hAnsi="Times New Roman"/>
          <w:b/>
          <w:color w:val="000000"/>
          <w:sz w:val="20"/>
        </w:rPr>
        <w:t>15.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and diluted net loss per share attributable to common stockholders is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092"/>
        <w:gridCol w:w="146"/>
        <w:gridCol w:w="227"/>
        <w:gridCol w:w="1005"/>
        <w:gridCol w:w="179"/>
        <w:gridCol w:w="157"/>
        <w:gridCol w:w="227"/>
        <w:gridCol w:w="1005"/>
        <w:gridCol w:w="166"/>
        <w:gridCol w:w="146"/>
        <w:gridCol w:w="214"/>
        <w:gridCol w:w="948"/>
        <w:gridCol w:w="168"/>
        <w:gridCol w:w="148"/>
        <w:gridCol w:w="214"/>
        <w:gridCol w:w="948"/>
        <w:gridCol w:w="215"/>
      </w:tblGrid>
      <w:tr>
        <w:trPr/>
        <w:tc>
          <w:tcPr>
            <w:tcW w:w="4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5,643,222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3,481,149</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1,260,202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per share, as their effect is anti-dilutive:</w:t>
      </w:r>
    </w:p>
    <w:tbl>
      <w:tblPr>
        <w:tblW w:w="8858" w:type="dxa"/>
        <w:jc w:val="left"/>
        <w:tblInd w:w="0" w:type="dxa"/>
        <w:tblLayout w:type="fixed"/>
        <w:tblCellMar>
          <w:top w:w="28" w:type="dxa"/>
          <w:left w:w="28" w:type="dxa"/>
          <w:bottom w:w="28" w:type="dxa"/>
          <w:right w:w="28" w:type="dxa"/>
        </w:tblCellMar>
      </w:tblPr>
      <w:tblGrid>
        <w:gridCol w:w="6016"/>
        <w:gridCol w:w="168"/>
        <w:gridCol w:w="1076"/>
        <w:gridCol w:w="168"/>
        <w:gridCol w:w="168"/>
        <w:gridCol w:w="168"/>
        <w:gridCol w:w="903"/>
        <w:gridCol w:w="191"/>
      </w:tblGrid>
      <w:tr>
        <w:trPr/>
        <w:tc>
          <w:tcPr>
            <w:tcW w:w="60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3,448,741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employees and contractors to purchase common stock</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related to convertible notes and other equity agreements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redeemable convertible preferred stock</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501,899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16. RESTRUCTURING AND RELATED CHARGES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November 2024, the Company announced a restructuring initiative to streamline operations and focus resources on advancing the clinical development of solnerstotug (the “2024 Restructuring”). As part of the 2024 Restructuring, the Company closed its research site in Rockville, Maryland, and reduced its workforce by approximately 46%, with the majority of reductions occurring in the preclinical research and development group. These actions were intended to extend the Company’s cash runway.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October 2025, the Company announced it was exploring strategic alternatives. In November 2025, the Company’s Board of Directors approved a reduction in force of approximately 65% of the Company’s workforce (together with the October 2025 actions, the “2025 Restructuring”) to preserve capital while the Company evaluated potential mergers, asset sales, or other strategic transactions.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2024 Restructuring and 2025 Restructuring costs are primarily related to one-time termination benefits and ongoing benefit arrangements, both of which included severance payments and extended benefits coverage. Aggregate costs also included certain contract termination costs.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tables summarize the accrued liabilities activity recorded in connection with the 2024 Restructuring and 2025 Restructuring for the six months ended June 30, 2026 and 2025 respectively (in thousands):</w:t>
      </w:r>
    </w:p>
    <w:tbl>
      <w:tblPr>
        <w:tblW w:w="6215" w:type="dxa"/>
        <w:jc w:val="left"/>
        <w:tblInd w:w="0" w:type="dxa"/>
        <w:tblLayout w:type="fixed"/>
        <w:tblCellMar>
          <w:top w:w="28" w:type="dxa"/>
          <w:left w:w="28" w:type="dxa"/>
          <w:bottom w:w="28" w:type="dxa"/>
          <w:right w:w="28" w:type="dxa"/>
        </w:tblCellMar>
      </w:tblPr>
      <w:tblGrid>
        <w:gridCol w:w="3216"/>
        <w:gridCol w:w="146"/>
        <w:gridCol w:w="218"/>
        <w:gridCol w:w="593"/>
        <w:gridCol w:w="166"/>
        <w:gridCol w:w="211"/>
        <w:gridCol w:w="346"/>
        <w:gridCol w:w="146"/>
        <w:gridCol w:w="211"/>
        <w:gridCol w:w="571"/>
        <w:gridCol w:w="39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Personnel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Restructuring and other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6195" w:type="dxa"/>
        <w:jc w:val="left"/>
        <w:tblInd w:w="0" w:type="dxa"/>
        <w:tblLayout w:type="fixed"/>
        <w:tblCellMar>
          <w:top w:w="28" w:type="dxa"/>
          <w:left w:w="28" w:type="dxa"/>
          <w:bottom w:w="28" w:type="dxa"/>
          <w:right w:w="28" w:type="dxa"/>
        </w:tblCellMar>
      </w:tblPr>
      <w:tblGrid>
        <w:gridCol w:w="3216"/>
        <w:gridCol w:w="146"/>
        <w:gridCol w:w="247"/>
        <w:gridCol w:w="564"/>
        <w:gridCol w:w="166"/>
        <w:gridCol w:w="211"/>
        <w:gridCol w:w="376"/>
        <w:gridCol w:w="166"/>
        <w:gridCol w:w="211"/>
        <w:gridCol w:w="481"/>
        <w:gridCol w:w="41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Personnel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Restructuring and other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Restructuring and other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statements contained in this Quarterly Report on Form 10-Q may constitute forward-looking statements within the meaning of Section 27A of the Securities Act of 1933, as amended, and Section 21E of the Securities Exchange Act of 1934, as amended. The words and phrases “designed to,” “may,” “might,” “can,” “will,” “to be,” “could,” “would,” “should,” “expect,” “intend,” “plan,” “objective,” “anticipate,” “believe,” “estimate,” “predict,” “project,” “potential,” “likely,” “continue,” “ongoing” or similar expressions, or the negative of such words,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in this Quarterly Report under the caption “Risk Factors,” and in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of our financial condition and results of operations should be read in conjunction with our condensed consolidated financial statements and related notes that appear in Item 1 of this Quarterly Report on Form 10-Q and with our audited consolidated financial statements and related notes for the year ended December 31, 2025, which are included in our Annual Report on Form 10-K filed with the SEC on March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improving outcomes for cancer patients through multi-node inhibition of critical oncogenic pathways. On February 17, 2026, we completed the acquisition of Faeth Therapeutics, a clinical-stage biotechnology company developing multi-node therapies targeting tumor metabolism and signaling (the “Acquisition”), and received $200 million in gross proceeds from the 2026 Private Placement from a broad syndicate of institutional investors. Effective June 15, 2026, we changed our corporate name from Sensei Biotherapeutics, Inc. to Faeth Therapeutics, Inc. The acquisition brought Faeth's lead asset, PIKTOR, a proprietary investigational all-oral combination of serabelisib and sapanisertib that inhibits multiple nodes of the PI3K/AKT/mTOR pathway, into our pipeline. For additional information regarding the terms of the acquisition and the concurrent financing, see Note 3 to the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Acquisition, our lead program is PIKTOR, an oral multi-node inhibitor of the PI3K/AKT/mTOR pathway in development for endometrial and breast cancer. The PI3K/AKT/mTOR pathway is dysregulated in up to 50% of all solid tumors, making it one of the most prevalent therapeutic targets in oncology. Our core thesis is that simultaneously suppressing multiple pathway nodes can produce deeper, more durable tumor suppression than approved therapies that target only a single node. PIKTOR is currently being evaluated in an ongoing Phase 2 trial in second-line advanced endometrial cancer (Study FTH-PIK-201), with topline data anticipated by year-end. Additionally, in April 2026 the first patient was dosed in our Phase 1b/2 trial in HR+/HER2- advanced breast cancer (Study FTH-PIK-101), from which we expect to report interim data in 2027. We believe the $200 million in gross financing proceeds, together with our existing cash, cash equivalents and marketable securities, will be sufficient to fund operations through these key clinical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Acquisition, we were primarily focused on the development of solnerstotug (formerly SNS-101), our conditionally active monoclonal antibody targeting the immune checkpoint VISTA. We are completing the remaining portion of the solnerstotug Phase 1/2 trial with patients currently on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our inception and expect to continue to incur losses for the foreseeable future. Our net loss was $186.2 million and $11.8 million for the six months ended June 30, 2026 and 2025, respectively. As of June 30, 2026, we had an accumulated deficit of $469.4 million and cash, cash equivalents and marketable securities of $186.4 million, which includes $183.1 million in net proceeds received in the 2026 Private Placement. The increase in our net loss for the six months ended June 30, 2026 compared to the same prior year period was primarily attributable to $133.0 million of acquired in-process research and development expense recognized in connection with the Acquisition, as well as increased research and development and general and administrative expenses resulting from the integration of Faeth's operations, including stock-based compensation expense related to the accelerated vesting of Faeth employee stock options and related tax gross-up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expense consists of expenses incurred in connection with the discovery and development of our product candidates. These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third-party contract research organizations, or CROs, as well as investigative sites and consultants that conduct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product candidates including the cost of third-party contract manufacturing organizations, or CMOs, that manufacture product for use in our preclinical studies and clinical trials and perform analytical testing, scale-up and other services in connection with our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outsourced professional scientific development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and stock-based compensation, severance costs and other related costs for those employees engaged in the research and development function;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relating to regulatory activities, including filing fees paid to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fees for maintaining licenses and other amounts due under our third-party licensing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materials and supplies used to support our research activities;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allocated expenses for utilities and other facility-related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direct external research and development expenses consist primarily of third-party costs, such as fees paid to CROs, CMOs, research/testing laboratories and outside consultants in connection with our preclinical development, process development, manufacturing and clinical development activities. We do not allocate these costs to specific product candidates because many of them are deployed across several of our development programs and, as such, are not separately classified. All other external research and development costs, including personnel costs, are not allocated to specific product candidates as they support multiple development programs. We have historically used internal resources primarily to conduct research and manage our preclinical development, process development, manufacturing and clinical development activities. These employees have worked across multiple development programs and, therefore, we have not historically tracked their costs by program and, as such, are not separately classified. 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any of our product candidates. This uncertainty is due to the numerous risks and uncertainties associated with the duration and cost of clinical trials, which vary significantly over the life of a project as a result of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outcome and costs of our preclinical studies, our current product candidates and any other product candidates we may acquire or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of our product candidates or making arrangements with third-party manufacturers for both clinical and commercial supplies of these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and the initiation, duration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gaining regulatory approvals for our product candidates, subject to the successful outcome of ongoing and future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expenditures are subject to additional uncertainties, including the terms and timing of regulatory approvals. We may never succeed in achieving regulatory approval for any of our product candidates. We may obtain unexpected results from our clinical trials. We may elect to discontinue, delay or modify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significant additional development costs.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principally of salaries and related costs for personnel in executive, administrative, finance and legal functions, including stock-based compensation, travel and recruiting expenses. Other general and administrative expenses include facility related costs, patent filing and prosecution costs and professional fees for legal, auditing and tax services, and insurance costs.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Acquired In-Process 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Acquired in-process research and development expense represents the fair value of in-process research and development assets obtained in connection with asset acquisitions where the acquired IPR&amp;D has no alternative future use as of the acquisition date. In accordance with ASC 805, such amounts are expensed at the time of acquisition rather than capitalized. We expect to recognize acquired IPR&amp;D expense in periods in which we consummate acquisitions of development-stage assets. The amount and timing of such charges, if any, will depend on the nature, size and frequency of future acquisition activity.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other income (expense) consists of accretion on short-term investments, interest income (expense), gain or loss on fixed asset disposal, and changes in fair value of warrant liabilities.</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recorded any income tax benefits for the net losses we have incurred or for the research and development tax credits earned in each year, as we believe, based upon the weight of available evidence, that it is more likely than not that all of our net operating loss carryforwards and tax credit carryforwards will not be realized.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sets forth our results of operations for the three months ended June 30, 2026 and 2025: </w:t>
      </w:r>
    </w:p>
    <w:tbl>
      <w:tblPr>
        <w:tblW w:w="7156" w:type="dxa"/>
        <w:jc w:val="left"/>
        <w:tblInd w:w="0" w:type="dxa"/>
        <w:tblLayout w:type="fixed"/>
        <w:tblCellMar>
          <w:top w:w="28" w:type="dxa"/>
          <w:left w:w="28" w:type="dxa"/>
          <w:bottom w:w="28" w:type="dxa"/>
          <w:right w:w="28" w:type="dxa"/>
        </w:tblCellMar>
      </w:tblPr>
      <w:tblGrid>
        <w:gridCol w:w="2511"/>
        <w:gridCol w:w="146"/>
        <w:gridCol w:w="286"/>
        <w:gridCol w:w="998"/>
        <w:gridCol w:w="225"/>
        <w:gridCol w:w="198"/>
        <w:gridCol w:w="286"/>
        <w:gridCol w:w="856"/>
        <w:gridCol w:w="166"/>
        <w:gridCol w:w="146"/>
        <w:gridCol w:w="211"/>
        <w:gridCol w:w="736"/>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18,385</w:t>
            </w:r>
          </w:p>
        </w:tc>
        <w:tc>
          <w:tcPr>
            <w:tcW w:w="22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$9.2 million for the three months ended June 30, 2026, compared to $2.5 million for the three months ended June 30, 2025. The increase of $6.6 million was primarily driven by development costs for PIKTOR which contributed approximately $5.0 million of research and development costs for the quarter, including preclinical, clinical trial, and chemistry, manufacturing and controls (or "CMC") related expenses, together with an increase of $2.3 million related personnel costs, including stock-based compensation and incentives. Legacy Sensei programs research and development spend was $0.7 million lower primarily due to lower expense associated with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$9.2 million for the three months ended June 30, 2026, compared to $2.7 million for the three months ended June 30, 2025. The increase of $6.5 million was primarily driven by $3.6 million of higher personnel costs, including stock-based compensation and incentives, $1.6 million of increased external administrative fees, $1.1 million of higher consulting expense and $0.2 million of higher licensing fees.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was $2.4 million for the three months ended June 30, 2026, compared to other income of $0.3 million for the three months ended June 30, 2025. The increase of $2.1 million was primarily related to an increase in interest income on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sets forth our results of operations for the six months ended June 30, 2026 and 2025: </w:t>
      </w:r>
    </w:p>
    <w:tbl>
      <w:tblPr>
        <w:tblW w:w="8654" w:type="dxa"/>
        <w:jc w:val="left"/>
        <w:tblInd w:w="0" w:type="dxa"/>
        <w:tblLayout w:type="fixed"/>
        <w:tblCellMar>
          <w:top w:w="28" w:type="dxa"/>
          <w:left w:w="28" w:type="dxa"/>
          <w:bottom w:w="28" w:type="dxa"/>
          <w:right w:w="28" w:type="dxa"/>
        </w:tblCellMar>
      </w:tblPr>
      <w:tblGrid>
        <w:gridCol w:w="4101"/>
        <w:gridCol w:w="146"/>
        <w:gridCol w:w="242"/>
        <w:gridCol w:w="966"/>
        <w:gridCol w:w="190"/>
        <w:gridCol w:w="167"/>
        <w:gridCol w:w="242"/>
        <w:gridCol w:w="845"/>
        <w:gridCol w:w="166"/>
        <w:gridCol w:w="146"/>
        <w:gridCol w:w="211"/>
        <w:gridCol w:w="841"/>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189,012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(189,012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(186,243</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$27.1 million for the six months ended June 30, 2026, compared to $6.3 million for the six months ended June 30, 2025. The increase of $20.9 million was primarily driven by the inclusion of development costs of PIKTOR following the February 2026 acquisition, contributing $6.1 million of research and development costs including preclinical, clinical trial, and CMC related expenses, significant non-recurring costs associated with the Acquisition including $4.8 million of non-cash stock-based compensation expense and $9.1 million of non-recurring tax gross-up payments related to the accelerated vesting of Faeth options, along with $3.3 million of higher personnel costs, including stock-based compensation and incentives, partially offset by a $2.4 million decrease in legacy Sensei programs 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research and development expenses in future periods to be lower than those incurred during the six months ended June 30, 2026, which included significant non-recurring costs associated with the Acquisition, including stock-based compensation expense related to the accelerated vesting of Faeth employee stock options and tax gross-up payments. However, we expect our ongoing research and development expenses to increase significantly as we advance PIKTOR through our ongoing Phase 2 trial in advanced endometrial cancer and our recently initiated Phase 1b/2 trial in HR+/HER2- advanced breast cancer, and as we expand preclinical and CMC activities for our broader pipeline.</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$28.9 million for the six months ended June 30, 2026, compared to $6.2 million for the six months ended June 30, 2025. The increase of $22.7 million was primarily driven by acquisition-related charges consisting of $6.2 million of non-cash stock-based compensation expense and $6.5 million of non-recurring tax gross-up payments related to the accelerated vesting of Faeth options, $2.5 million of transaction costs, $2.3 million of Faeth operating costs, and $4.5 million of higher personnel costs, including stock-based compensation and incentives, along with a $0.7 million increase primarily due to integration-related professional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general and administrative expenses in future periods to be lower than those incurred during the six months ended June 30, 2026, which included significant non-recurring costs associated with the Acquisition, including stock-based compensation expense related to the accelerated vesting of Faeth employee stock options and transaction costs. However, we expect our ongoing general and administrative expenses to remain significantly higher than our pre-Acquisition levels as a result of the integration of Faeth Therapeutics' operations, including personnel costs associated with the expanded workforce and the support of our broader product pipeline, as well as additional costs associated with operating as a larger public company, including consulting, legal, tax-related services, accounting, investor relations, and insurance premiums.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Acquired In-Process 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Acquired in-process research and development expense was $133.0 million for the six months ended June 30, 2026, with no comparable expense in the prior year period. The charge was recognized in connection with the Acquisition in February 2026 and represents the fair value of acquired IPR&amp;D assets that had no alternative future use as of the acquisition date. See Note 3 to our unaudited condensed consolidated financial statement included elsewhere in this Quarterly Report for additional information regarding the acquisition.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was $2.8 million for the six months ended June 30, 2026 compared to $0.7 million for the six months ended June 30, 2025. The $2.1 million increase was primarily related to an increase in interest income on securities.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generated any product revenue and have incurred net losses and negative cash flows from our operations. As of June 30, 2026, we had cash, cash equivalents and marketable securities of $186.4 million. We have financed our operations through sales of our common stock, redeemable convertible preferred stock and convertible debt. Through the date of this Quarterly Report, we have raised an aggregate of $123.4 million of gross proceeds from private placements of our equity and convertible debt securities and net proceeds of $138.5 million from our IPO in February 2021 and an additional $183.1 million in net proceeds received in the 2026 Private Placement. Our net loss was $186.2 million and $11.8 million for the six months ended June 30, 2026 and 2025, respectively. As of June 30, 2026, we had an accumulated deficit of $469.4 million. Our primary use of cash is to fund operating expenses, which consist primarily of research and development expenditures and general and administrative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cash requirements to increase as we advance PIKTOR through multiple clinical trials following the Acquisition, including our ongoing Phase 2 trial in advanced endometrial cancer and our recently initiated Phase 1b/2 trial in HR+/HER2- advanced breast cancer, and we believe our existing cash, cash equivalents and marketable securities of $186.4 million are sufficient to fund operations through topline data readouts from both studies.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below (in thousands): </w:t>
      </w:r>
    </w:p>
    <w:p>
      <w:pPr>
        <w:pStyle w:val="TextBody"/>
        <w:bidi w:val="0"/>
        <w:jc w:val="left"/>
        <w:rPr/>
      </w:pPr>
      <w:r>
        <w:rPr/>
        <w:t> </w:t>
      </w:r>
    </w:p>
    <w:tbl>
      <w:tblPr>
        <w:tblW w:w="7225" w:type="dxa"/>
        <w:jc w:val="left"/>
        <w:tblInd w:w="0" w:type="dxa"/>
        <w:tblLayout w:type="fixed"/>
        <w:tblCellMar>
          <w:top w:w="28" w:type="dxa"/>
          <w:left w:w="28" w:type="dxa"/>
          <w:bottom w:w="28" w:type="dxa"/>
          <w:right w:w="28" w:type="dxa"/>
        </w:tblCellMar>
      </w:tblPr>
      <w:tblGrid>
        <w:gridCol w:w="4216"/>
        <w:gridCol w:w="146"/>
        <w:gridCol w:w="242"/>
        <w:gridCol w:w="966"/>
        <w:gridCol w:w="190"/>
        <w:gridCol w:w="167"/>
        <w:gridCol w:w="242"/>
        <w:gridCol w:w="845"/>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(139,502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184,143</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18,235</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used in operating activities was $26.4 million, primarily resulting from our $186.2 million net loss partially offset by a $9.8 million increase in our operating assets and liabilities and increases in non-cash charges of $150.0 million, primarily related to $133.0 million of acquired in-process research and development from the Acquisition, $17.4 million of stock compensation expense and $0.7 million of non-cash lease expense partially offset by $1.1 million of accretion on marketable securities. The change in operating assets and liabilities was primarily related to a $10.3 million decrease in prepaid expenses $0.2 million increase in accounts payable and accrued liabilities and a $0.1 million increase in other assets offset by a $0.8 million decrease in operating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used in operating activities was $13.0 million, primarily resulting from our $11.8 million net loss and a $2.3 million decrease in our operating assets and liabilities partially offset by increases in non-cash charges of $1.1 million, primarily related to $0.8 million of non-cash lease expense and $0.7 million of stock compensation expense, partially offset by $0.4 million of accretion on marketable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used in investing activities was $139.5 million, primarily due to $158.6 million in purchases of short-term investments, partially offset by $12.6 million in maturities of short-term investments and $6.5 million in cash assumed from the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provided by investing activities was $15.9 million, primarily due to $24.5 million in maturities of short-term investments and $0.2 million of proceeds from the sale of property and equipment, partially offset by $8.8 million in purchases of short-term investments. </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provided by financing activities was $184.1 million, primarily consisting of $200.0 million proceeds from the issuance of Series B Preferred Stock, $1.1 million from the exercise of options into common stock, partially offset by $16.9 million of issuance costs from the private placement issuance of Series B Preferred Stock and $0.1 million of principal payments under our financing 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used in financing activities was $0.4 million, primarily consisting of $0.5 million of principal payments under our financing leases, partially offset by $0.1 million of proceeds from the sale of financing lease assets. </w:t>
      </w:r>
    </w:p>
    <w:p>
      <w:pPr>
        <w:pStyle w:val="TextBody"/>
        <w:bidi w:val="0"/>
        <w:spacing w:before="360" w:after="283"/>
        <w:jc w:val="left"/>
        <w:rPr>
          <w:rFonts w:ascii="Times New Roman" w:hAnsi="Times New Roman"/>
          <w:sz w:val="20"/>
        </w:rPr>
      </w:pPr>
      <w:r>
        <w:rPr>
          <w:rFonts w:ascii="Times New Roman" w:hAnsi="Times New Roman"/>
          <w:b/>
          <w:i/>
          <w:color w:val="000000"/>
          <w:sz w:val="20"/>
        </w:rPr>
        <w:t>Material Cash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material cash requirements will have an impact on our future liquidity. Our material cash requirements represent material expected or contractually committed future payment obligations.</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operating lease arrangements for our corporate offices and lab facilities. As of June 30, 2026, we had operating lease payment obligations of $0.6 million, with $0.5 million payable for the remainder of 2026. See Note 7 in our condensed consolidated financial statements included elsewhere in this Form 10-Q for 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biopharmaceutical industry, it can take a significant amount of time and capital resources to successfully complete all stages of research and development and commercialize a product candidate. The ultimate length of time and spend required cannot be accurately estimated as it varies substantially according to the type, complexity, novelty and intended use of a product candidate. Please see the “Funding Requirements” section below for further details.</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ongoing activities, particularly as we continue the research and development of, initiate clinical trials of, and potentially seek marketing approval for, our product candidates. In addition, we expect to continue to incur significant costs associated with operating as a public company, including significant legal, accounting, investor relations and other expenses. The timing and amount of our operating expenditures will depend largely 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costs and results of current and future preclinical studies and clinical trials for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the manufacture of additional clinical trial material as well as any costs related to the scale-up of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hire additional clinical, quality assurance, quality control and other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develop or may in-license;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meeting and maintaining compliance with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filing, prosecuting, defending and enforcing our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collaboration agreements we may choose to enter into, including the achievement of milestones or occurrence of other developments that trigger payments under any license or collaboration agreements we might have at such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the expansion of our operational, financial and management systems and increased personnel, including personnel to support our operations as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establishing sales, marketing and distribution capabilities for any product candidates for which we may receive regulatory approval in regions where we choose to commercialize our products, if approved, on our own.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expect our existing cash, cash equivalents and marketable securities will enable us to fund our operating expenses and capital expenditure requirements through topline data readouts from both our ongoing Phase 2 trial of PIKTOR in advanced endometrial cancer (Study FTH-PIK-201) and our recently initiated Phase 1b/2 trial of PIKTOR in HR+/HER2- advanced breast cancer (Study FTH-PIK-101). We have based this estimate on assumptions that may prove to be wrong, and we may use our available capital resources sooner than we currently expect. Our future capital requirements will depend on many factors,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scope, progress, results and costs of product discovery,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are obligated to reimburse, or entitled to reimbursement of, clinical trial costs under collaboration agreements,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securing manufacturing arrangements for commercial production;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establishing or contracting for sales and marketing capabilities if we obtain regulatory approvals to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limiting or restricting our ability to take specific actions, such as incurring additional debt, making capital expenditures or declaring dividends. In addition, debt financing would result in fixed payment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marketing, distribution or licensing arrangements with third parties, we may have to relinquish valuable rights to our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Judgements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Management’s Discussion and Analysis of Financial Condition and Results of Operations is based on our financial statements, which are prepared in accordance with US GAAP. The preparation of our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During the six months ended June 30, 2026, we acquired in-process research and development intangible assets in connection with the Faeth Therapeutics merger, which represents a new critical accounting policy not previously disclosed in our Annual Report on Form 10-K for the year ended December 31, 2025, as filed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 on March 30, 2026. Except for this addition, there were no other significant changes to our critical accounting policies which are included in our Annual Report on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in our condensed consolidated financial statements included elsewhere in this Form 10-Q for a description of recent accounting pronouncements applicable to our financial statements. Other than as disclosed in our financial statements, we do not expect that any recently issued accounting standards will have a material impact on our financial statements or will otherwise apply to our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qualify as an Emerging Growth Company, or EGC, as defined in the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exemptions until the last day of the fiscal year following the fifth anniversary of our initial public offering or such earlier time that we are no longer an emerging growth company. We would cease to be an EGC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condensed consolidated financial statements may not be directly comparable to those of other public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Item 10 of Regulation S-K and are not required to provide the information otherwise required under this item. </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“disclosure controls and procedures,” as defined in Rules 13a-15(e) and 15d-15(e) under the Securities Exchange Act of 1934, as amended, or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a company’s management, including its principal executive and principal financial officers, or persons performing similar functions,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of June 30, 2026. Based on this evaluation, our principal executive officer and principal financial officer concluded that our disclosure controls and procedures were effective at the reasonable assurance level as of June 30,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17, 2026, we completed our acquisition of Faeth Therapeutics, as further described in Note 3 to the condensed consolidated financial statements included elsewhere in this Quarterly Report. In connection with the acquisition, we have begun the process of integrating Faeth's financial processes, systems, and personnel into our system of internal control over financial reporting. We expect this integration to continue through the remainder of 2026 and to result in changes to our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as described above, there were no material changes in our internal control over financial reporting (as defined in Rules 13a-15(f) and 15d-15(f) under the Exchange Act) that occurred during the three months ended June 30, 2026 which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currently a party to any material legal proceedings. From time to time, we may become involved in other litigation or legal proceedings relating to claims arising from the ordinary course of business. </w:t>
      </w:r>
    </w:p>
    <w:p>
      <w:pPr>
        <w:pStyle w:val="TextBody"/>
        <w:bidi w:val="0"/>
        <w:spacing w:before="36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risks described below, as well as general economic and business risks and the other information in this Quarterly Report on Form 10-Q.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factors summarized below could materially harm our business, operating results, and/or financial condition, impair our future prospects, and/or cause the price of our common stock to decline. These risks are discussed more fully below. Material risks that may affect our business, financial condition, results of operations, and trading price of our common stock include the following:</w:t>
      </w:r>
    </w:p>
    <w:p>
      <w:pPr>
        <w:pStyle w:val="TextBody"/>
        <w:bidi w:val="0"/>
        <w:spacing w:before="0" w:after="12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a limited operating history, have incurred net losses since our inception, and anticipate that we will incur significant losses for the foreseeable future. We may never generate any revenue or become profitable or, if we achieve profitability, may not be able to sustain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raise additional capital when needed, we may be forced to delay, reduce or eliminate our product development programs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need substantial additional funding to complete the development of our product candidates. A failure to obtain this necessary capital when needed could force us to further delay, limit, reduce or terminate our product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in every year since our inception. We expect to continue to incur losses over the next several years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highly dependent on the success of our product candidates that we advance into the clinic. All our product candidates will require significant additional preclinical, clinical and manufacturing development before we may be able to seek regulatory approval for and launch a product commercially. 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data from our clinical trials that we announce or publish from time to time may change as more patients are enrolled and additional data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depend on timely enrollment of patients in our clinical trials for our product candidates. If we encounter difficulties enrolling patients in our clinical trials, our clinical development activities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difficult to design and implement, can be lengthy and expensive, involve uncertain outcomes and may not ultimately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not involved in the early development of PIKTOR; therefore, we are dependent on third parties having accurately generated, collected, interpreted and reported data from certain preclinical and clinical trials of PIKTOR.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emerging clinical data from a competitor has provided evidence supporting the multi-node inhibition concept, there is no guarantee that PIKTOR’s specific approach will produce comparable results, and a competitor’s first-mover advantage could limit our commercial opportunity.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rapidly changing industry and face significant competition, which may result in others discovering,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any of our product candidates receives marketing approval, it may fail to achieve the degree of market acceptance by physicians, patients, third-party payors and others in the medical community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 candidates will depend on several factors, including obtaining and maintaining patent and trade secret protection and/or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for our technologies and product candidates, or if the scope of the patent protection obtained is not sufficiently broad, our competitors could develop and commercialize technology and products similar or identical to ours, and our ability to successfully commercialize our technology and product candidates may be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initiate legal proceedings alleging that we are infringing their intellectual property rights, the outcome of which would be uncertain and could significantly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guarantee that the Acquisition will increase stockholder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successfully integrate the businesses of Sensei and Faeth in the expected timeframe could adversely affect our results of operations, financial condition, and future results.</w:t>
      </w:r>
    </w:p>
    <w:p>
      <w:pPr>
        <w:pStyle w:val="TextBody"/>
        <w:bidi w:val="0"/>
        <w:spacing w:before="240" w:after="120"/>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have a limited operating history and have incurred significant losses in every year since our inception. We expect to continue to incur losses over the next several years and may never achieve or maintain profitability.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are a clinical-stage biotechnology company with a limited operating history that may make it difficult to evaluate the success of our business to date and to assess the future viability of our business prospects. Our operations to date have been limited to business planning, including the Acquisition, organizing and staffing our company, raising capital, identifying potential product candidates, conducting clinical trials and preclinical studies for our development programs, entering into licensing agreements, establishing and enhancing our intellectual property portfolio, and providing general and administrative support for these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incurred significant operating losses since our inception and expect to continue to incur losses for the foreseeable future. Our net loss was $186.2 million and $11.8 million for the six months ended June 30, 2026 and 2025, respectively. As of June 30, 2026, we had an accumulated deficit of $469.4 million and cash, cash equivalents and marketable securities of $186.4 million, which includes $183.1 million in net proceeds received in the 2026 Private Placement. We have funded our operations to date primarily with proceeds from the sale of our equity securities, including the 2026 Private Placement, and historically from borrowings of convertible debt.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no products approved for commercial sale, have not generated any revenue from commercial sales of our product candidates, and are devoting substantially all of our financial resources and efforts to the research and development of PIKTOR. Investment in clinical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that it will take at least several years until any of our product candidates receive marketing approval and are commercialized, and we may never be successful in obtaining marketing approval and commercializing product candidates. We expect to continue to incur significant expenses and increasing operating losses for the foreseeable future. These net losses will adversely impact our stockholders’ equity and net assets and may fluctuate significantly from quarter to quarter and year to year.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To become and remain profitable, we must succeed in developing and eventually commercializing products that generate significant revenue. Achievement will require us to be successful in a range of challenging activities, including completing preclinical studies and clinical trials of our product candidates, obtaining regulatory approval, manufacturing, marketing and selling any products for which we may obtain regulatory approval, as well as discovering and developing additional product candidates. We may never succeed in these activities and, even if we do, may never generate revenues that are significant enough to achieve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 </w:t>
      </w:r>
    </w:p>
    <w:p>
      <w:pPr>
        <w:pStyle w:val="TextBody"/>
        <w:bidi w:val="0"/>
        <w:spacing w:before="120" w:after="120"/>
        <w:jc w:val="left"/>
        <w:rPr>
          <w:rFonts w:ascii="Times New Roman" w:hAnsi="Times New Roman"/>
          <w:sz w:val="20"/>
        </w:rPr>
      </w:pPr>
      <w:r>
        <w:rPr>
          <w:rFonts w:ascii="Times New Roman" w:hAnsi="Times New Roman"/>
          <w:b/>
          <w:i/>
          <w:color w:val="000000"/>
          <w:sz w:val="20"/>
        </w:rPr>
        <w:t>Our operating history may make it difficult for you to evaluate the success of our business to date and to assess our future viability.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an organization, we have not demonstrated an ability to successfully complete clinical trials, obtain regulatory approvals,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operating history makes any assessment of our future success or viability subject to significant uncertainty, particularly with respect to the Acquisition. If we do not address these risks successfully or are unable to transition at some point from a company with a research and development focus to a company capable of supporting commercial activities, then our business will suffer. </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We will need substantial additional funding to complete the development of our product candidates.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our inception, we have used substantial amounts of capital to fund the development of our product candidates and operations. We expect our research and development expenses to increase in connection with our ongoing activities, particularly as our product candidates enter and advance through preclinical studies and clinical trials. We will require substantial additional funding to meet our financial needs and to pursue our business objectives. We will require significant additional capital to,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complete our ongoing and planned clinical trials, preclinical studies and IND-enabling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enroll, and complete additional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and obtain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and maintain our manufacturing capabilities or enter into third-party manufacturing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and protect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 our general and administrative operations.</w:t>
      </w:r>
    </w:p>
    <w:p>
      <w:pPr>
        <w:pStyle w:val="TextBody"/>
        <w:bidi w:val="0"/>
        <w:spacing w:before="120" w:after="283"/>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if we obtain marketing approval for any of our product candidates, we will incur significant commercialization expenses related to marketing, sales, manufacturing and distribution.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Failure to raise capital as and when needed would have a negative impact on our financial condition and ability to develop our product candidates. Furthermore, we cannot be certain that additional funding will be available on acceptable terms. If we are unable to raise additional capital in sufficient amounts or on terms acceptable to us, we may have to significantly delay, scale back or discontinue the development or commercialization of our product candidates or other research and development initiatives, and any of our current or future license agreements may be terminated if we are unable to meet the payment or other obligations under the agreements.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that significant additional capital may be needed in the future to continue our planned operations, including conducting clinical trials, commercialization efforts, research and development activities and costs associated with operating a public company. Until such time, if ever, as we can generate substantial product revenues, we expect to finance our cash needs through any or a combination of securities offerings, debt financings, license and collaboration agreements and research grants. If we raise capital through securities offerings, such sales are likely to result in material dilution to our existing stockholders, and new investors could gain rights, preferences and privileges senior to the holders of our common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obligations, and we may be required to accept terms that restrict our ability to incur additional indebtedness, force us to maintain specified liquidity or other ratios or restrict our ability to pay dividends or make acquisitions.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stockholders, and may cause the market price of our common stock to decline.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we may seek additional capital due to favorable market conditions or strategic considerations even if we believe that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 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further delay, reduce or altogether cease our research and development programs or future commercialization efforts.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could be adversely affected by economic downturns, inflation, increases in interest rates, natural disasters, public health crises such as pandemics, political crises, geopolitical events, or other macroeconomic conditions, which have in the past and may in the future negatively impact our business and financial performance.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due to reasons including, among other things, geopolitical conflicts, political changes and trends such as protectionism, economic nationalism resulting in government actions impacting international trade agreements or imposing trade restrictions such as tariffs and retaliatory counter measures.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widespread public health crisis such as a pandemic could result in significant disruption of global financial markets, reducing our ability to access capital, which could negatively affect our liquidity. In addition, a recession or market correction resulting from the effects of public health crises could materially affect our business and the value of our common stock. It may have further negative impacts, such as (a) a global or U.S. recession or other economic crisis; (b) credit and capital markets volatility (and access to these markets, including by our suppliers and customers); (c) manufacturing supply disruption due to travel restrictions or other government actions; (d) disruptions in raw material supply, our manufacturing operations, or in our distribution and supply chain; and (e) our ability to conduct planned clinical trials and commercialization activities. The ultimate impact of a public health crisis is highly uncertain.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Fluctuating interest rates, coupled with reduced government spending and volatility in financial markets, may increase economic uncertainty and affect consumer spending.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the Development of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jc w:val="left"/>
        <w:rPr>
          <w:rFonts w:ascii="Times New Roman" w:hAnsi="Times New Roman"/>
          <w:color w:val="000000"/>
          <w:sz w:val="20"/>
        </w:rPr>
      </w:pPr>
      <w:r>
        <w:rPr>
          <w:rFonts w:ascii="Times New Roman" w:hAnsi="Times New Roman"/>
          <w:color w:val="000000"/>
          <w:sz w:val="20"/>
        </w:rPr>
        <w:t>There is no assurance that any clinical trials of our product candidates will be successful or will generate positive clinical data and we may not receive marketing approval from the FDA or other regulatory agencies for any of our product candidates. All our product candidates are in the early stages of our development efforts, and if any of our product candidates encounter safety or efficacy problems, development delays, regulatory issues or other problems, our development plans and forecasted timelines and business could be significantly harmed. While the FDA has not objected to our protocol for PIKTOR in HR+/HER2- breast cancer, there can be no assurance that the FDA will permit any future IND or protocol for our other product candidates or additional indications to go into effect in a timely manner or at all. We would not be permitted to conduct further clinical trials in the United States without future INDs and approved protocols for our other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Biopharmaceutical development is a long, expensive and uncertain process, and delay or failure can occur at any stage of any of our clinical trials. Failure to obtain regulatory approval for our product candidates will prevent us from commercializing and marketing our product candidates. The success in the development of our product candidates will depend on many factors,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initiating, enrolling, and completing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of INDs for and receipt of allowance to proceed with our clinical trials or other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positive results from our preclinical studies and clinical trials that support a demonstration of efficacy, safety, and durability of effect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approvals for commercialization of our product candidates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successfully launching commercial sales of our products,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products, if and when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our product candidates at an acceptable cost;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growing an organization of scientists, medical professionals and business people who can develop and commercialize our product candidates and technology.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could materially harm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do not have any products that have gained regulatory approval. Our business is substantially dependent on our ability to obtain regulatory approval for our preclinical programs. We cannot commercialize product candidates in the United States without first obtaining regulatory approval for the product from the FDA.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are adequate with respect to such product candidate. Prior to seeking approval for any of our product candidates, we will need to confer with the FDA and other regulatory authorities regarding the design of our clinical trials and the type and amount of clinical data necessary to seek and gain approval for our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our existing product candidates or any future product candidates will ever obtain regulatory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from the FDA or other comparable regulatory authorities for many reasons,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disagreement with the design, protocol or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that a product candidate is safe and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clinical trials to meet the level of statistical significance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insufficiency of data collected from clinical trials of our product candidates to support the submission and filing of an NDA or other submission or to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obtain approval of the manufacturing processes or our facilities;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approval policies or regulations that render our preclinical and clinical data insufficient for approval;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lack of adequate funding to complete a clinical trial in a manner that is satisfactory to the applicable regulatory authority.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Many of these risks are beyond our control, including the risks related to clinical development. If we are unable to develop, receive regulatory approval for, or successfully commercialize our product candidates, or if we experience delays as a result of any of these risks or otherwise, our business could be materially harmed.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FDA or a comparable regulatory authority may require more information, including additional preclinical or clinical data to support approval, including data that would require us to perform additional clinical trials or modify our manufacturing processes, which may delay or prevent approval and our commercialization plans, or we may decide to abandon the development program. If we change our manufacturing processes, we may be required to conduct additional clinical trials or other studies, which also could delay or prevent approval of our product candidates. If we were to obtain approval, regulatory authorities may approve any of our product candidates for fewer indications than we request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candidate or generate revenues attributable to that product candidate. Also, any regulatory approval of our current or future product candidates, once obtained, may be withdrawn.</w:t>
      </w:r>
    </w:p>
    <w:p>
      <w:pPr>
        <w:pStyle w:val="TextBody"/>
        <w:bidi w:val="0"/>
        <w:spacing w:before="0" w:after="120"/>
        <w:jc w:val="left"/>
        <w:rPr>
          <w:rFonts w:ascii="Times New Roman" w:hAnsi="Times New Roman"/>
          <w:sz w:val="20"/>
        </w:rPr>
      </w:pPr>
      <w:r>
        <w:rPr>
          <w:rFonts w:ascii="Times New Roman" w:hAnsi="Times New Roman"/>
          <w:b/>
          <w:i/>
          <w:color w:val="000000"/>
          <w:sz w:val="20"/>
        </w:rPr>
        <w:t>Our business is highly dependent on the success of our product candidates that we advance into the clinic, particularly PIKTOR. All of our product candidates, including PIKTOR, will require significant additional preclinical, clinical and manufacturing development before we may be able to seek regulatory approval for and launch a product commercially and we may not be successful in our efforts.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currently have no products that are approved for commercial sale and may never be able to develop marketable products. We are devoting substantially all our resources to the development of PIKTOR. Our existing clinical data for PIKTOR is derived from a Phase 1b open-label, uncontrolled study with a limited number of evaluable patients. If PIKTOR encounters safety or efficacy problems, development delays, regulatory issues or other problems, our development plans and forecasted timelines and business could be significantly harmed. Because substantially all of our resources are concentrated on a single product candidate, any failure or significant delay in PIKTOR’s development would have a disproportionate impact on our business, financial condition and prospects, and we do not have other clinical-stage programs that could offset such a setback.</w:t>
        <w:br/>
        <w:br/>
        <w:t xml:space="preserve">We cannot provide you with any assurance that we will be able to successfully advance PIKTOR or any additional product candidates through the development process. Our research programs may initially show promise in identifying potential product candidates, yet fail to yield product candidates for clinical development or commercialization for many reasons, including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product candidates may not succeed in preclinical 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during our development program so that the continued development of that product candidate is no longer reasonable;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our development efforts for a program or programs, or we may not be able to identify, discover, develop, or commercialize additional product candidates, which could have a material adverse effect on our business and could potentially cause us to cease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do not successfully develop and commercialize product candidates or collaborate with others to do so, we will not be able to obtain product revenue in future periods, which could significantly harm our financial position and adversely affect the trading price of our common stock.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While emerging clinical data from third parties has provided evidence supporting the multi-node inhibition concept for the PI3K/AKT/mTOR pathway, there is no guarantee that PIKTOR’s specific approach will produce comparable clinical results, and earlier approvals for third party drugs in this class could limit our commercial opportunity.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development strategy for PIKTOR is premised on the hypothesis that simultaneous inhibition of multiple nodes of the PI3K/AKT/mTOR signaling pathway — specifically, concurrent PI3Kα inhibition and mTORC1/2 inhibition — will provide deeper, more durable and more tolerable pathway suppression than currently approved single-node inhibitors. We refer to this approach as multi-node inhibition, or MNI. While recent Phase 3 data for the IV pan-PI3K and mTORC1/2 inhibitor gedatolisib provide clinical evidence supporting the broader MNI concept, there can be no assurance that PIKTOR will produce comparable efficacy or tolerability results in clinical trials.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2026, the FDA approved gedatolisib for the treatment of HR+/HER2-, PIK3CA wild-type metastatic breast cancer, making gedatolisib the first approved MNI therapy for HR+/HER2- advanced breast cancer and enabling it to establish a significant market position before PIKTOR completes clinical development. Accordingly, PIKTOR must demonstrate meaningful differentiation — whether through oral convenience, a favorable tolerability profile, broader patient applicability, or other clinical advantages — in order to compete effectively. There can be no assurance that PIKTOR will be able to demonstrate such differentiation. Furthermore, the PI3K/AKT/mTOR pathway is the subject of intense research, and new modalities or approaches could emerge that are superior to both gedatolisib and PIKTOR, rendering our competitive position obsolete.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if gedatolisib or another MNI that receives regulatory approval is incorporated into the standard of care for any of our target indications, regulatory authorities may require that future clinical trials of PIKTOR, including any registrational trials, use the newly approved MNI as part of the comparator arm rather than the current standard of care. Such a change could require us to conduct larger, more expensive, and longer clinical trials than currently planned, raise the efficacy threshold that PIKTOR must demonstrate to achieve regulatory approval, and materially increase our development costs and delay our anticipated development timelines. Even if we are able to demonstrate superiority or non-inferiority to a newly approved MNI, the cost, complexity, and duration of the required trials could substantially exceed our current projections, and we may need to raise additional capital to fund such trials. There can be no assurance that we would be able to obtain such additional capital on acceptable terms, or at all.</w:t>
      </w:r>
    </w:p>
    <w:p>
      <w:pPr>
        <w:pStyle w:val="TextBody"/>
        <w:bidi w:val="0"/>
        <w:jc w:val="left"/>
        <w:rPr>
          <w:rFonts w:ascii="Times New Roman" w:hAnsi="Times New Roman"/>
          <w:sz w:val="20"/>
        </w:rPr>
      </w:pPr>
      <w:r>
        <w:rPr>
          <w:rFonts w:ascii="Times New Roman" w:hAnsi="Times New Roman"/>
          <w:b/>
          <w:i/>
          <w:color w:val="000000"/>
          <w:sz w:val="20"/>
        </w:rPr>
        <w:t>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A failure of one or more clinical trials can occur at any stage of testing. Any side effects or patient deaths could affect the development of our product candidates, even if deemed to not be drug related.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any such adverse events occur, our clinical trials could be suspended or terminated. If we cannot demonstrate that any adverse events were not caused by the drug, the FDA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experience numerous unforeseen events prior to, during, or as a result of, clinical trials that could delay or prevent our ability to receive marketing approval or commercialize any of our product candidates,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FDA or other comparable regulatory authority may disagree as to the number, design or implementation of our clinical trials, or may not interpret the results from clinical trials as we do;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reach agreement on acceptable terms with prospective clinical trial sites, the terms of which can be subject to extensive negotiation and may vary significantly among different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may produce negative or inconclusive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or regulators may require us, to conduct additional preclinical studies or clinical trials or abandon our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comparable regulatory authorities may fail to approve our manufacturing processes or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may be insufficient or inadequate;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causing us or our investigators, regulators or institutional review boards to suspend or terminate the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other comparable regulatory authorities may significantly change in a manner rendering our clinical data insufficient for approval. </w:t>
      </w:r>
    </w:p>
    <w:p>
      <w:pPr>
        <w:pStyle w:val="TextBody"/>
        <w:bidi w:val="0"/>
        <w:spacing w:before="120" w:after="283"/>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To the extent that the results of the trials are not satisfactory for the FDA or regulatory authorities in other countries or jurisdictions to approve our NDAs or other comparable applications, the commercialization of our product candidates may be significantly delayed, or we may be required to expend significant additional resources, which may not be available to us, to conduct additional trials in support of potential approval of our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Clinical trials are difficult to design and implement, can be lengthy and expensive, involve uncertain outcomes and may not ultimately be successful.</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It is impossible to predict when or if any of our current or future product candidates will prove effective and safe in humans or will receive regulatory approval. Before obtaining marketing approval from regulatory authorities for the sale of any product candidate, we must complete preclinical studies and then conduct extensive clinical trials to demonstrate the safety and efficacy of our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There is a high failure rate for oncology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our ongoing Phase 2 trial in advanced endometrial cancer, Study FTH-PIK-201, includes an optional sub-study in which enrolled patients may combine an insulin-suppressing diet with their PIKTOR plus paclitaxel treatment regimen. Because participation in the diet sub-study is optional, patients who elect to participate may differ in meaningful ways from those who do not, and the resulting patient subgroups may not be balanced with respect to baseline characteristics or other factors that could influence clinical outcomes. If a significant proportion of patients participate in the diet sub-study, or if the diet has any effect — whether positive or negative — on efficacy or tolerability endpoints, it may be difficult to attribute observed clinical outcomes solely to PIKTOR. This could complicate our ability to interpret the trial’s results, could raise questions from regulatory authorities, and could reduce the evidentiary value of the trial for purposes of supporting future regulatory submissions or clinical development decisions.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Negative outcomes or data integrity failures by competitors in the oncology space could adversely affect our business, reputation, and the regulatory and commercial environment in which we operate.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clinical and commercial success of PIKTOR may be influenced not only by our own data and results, but also by the outcomes and perceived integrity of data generated by competitors operating in the same therapeutic area, including other multi-node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inhibitors. If a competitor’s product or product candidate is withdrawn from the market, subject to a safety recall, or associated with serious adverse events, whether in clinical trials or following regulatory approval, patients, physicians, payers, and the broader medical community may develop a generalized skepticism or loss of confidence in the underlying treatment modality or target mechanism. This loss of confidence could reduce patient enrollment in our clinical trials, dampen physician adoption of our products, or cause payers to impose more restrictive coverage and reimbursement policies, regardless of whether our products share the specific deficiencies identified in the competitor’s product.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no control over the research, development, manufacturing, or commercial practices of our competitors in the oncology space, and we cannot predict whether their data or products will meet the standards expected by regulators, the medical community, or the public. Any of the foregoing events could have a material adverse effect on our business, financial condition, results of operations, and prospects.</w:t>
      </w:r>
    </w:p>
    <w:p>
      <w:pPr>
        <w:pStyle w:val="TextBody"/>
        <w:bidi w:val="0"/>
        <w:spacing w:before="0" w:after="120"/>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have a greater likelihood of success.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For example, we are currently focusing the majority of our efforts on the development of PIKTOR.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Our spending on current and future research and development programs and product candidates for specific indications may not yield any commercially viable products. </w:t>
      </w:r>
    </w:p>
    <w:p>
      <w:pPr>
        <w:pStyle w:val="TextBody"/>
        <w:bidi w:val="0"/>
        <w:spacing w:before="0" w:after="120"/>
        <w:jc w:val="left"/>
        <w:rPr>
          <w:rFonts w:ascii="Times New Roman" w:hAnsi="Times New Roman"/>
          <w:sz w:val="20"/>
        </w:rPr>
      </w:pPr>
      <w:r>
        <w:rPr>
          <w:rFonts w:ascii="Times New Roman" w:hAnsi="Times New Roman"/>
          <w:b/>
          <w:i/>
          <w:color w:val="000000"/>
          <w:sz w:val="20"/>
        </w:rPr>
        <w:t>Success in preclinical studies or clinical trials may not be predictive of results in future clinical trials.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Results from preclinical studies and early clinical trials may not be predictive of the success of later clinical trials, and interim results of clinical trials are not necessarily predictive of final results. We do not know whether our candidates will be effective for the intended indications or safe in humans. Our product candidates may fail to show the desired safety and efficacy in preclinical or clinical development despite positive results observed in early preclinical studies or having successfully advanced through initial clinical trials. Any failure to establish sufficient efficacy and safety could cause us to abandon clinical development of our product candidates. Further, our clinical trials to date have involved small patient populations. Because of the small sample sizes, the results of these trials may not be indicative of results of future clinical trials.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were not involved in the early development of PIKTOR; therefore, we are dependent on third parties having accurately generated, collected, interpreted and reported data from certain preclinical and clinical trials of PIKTOR.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had no involvement with or control over the initial preclinical and clinical development of PIKTOR. We are dependent on third parties having conducted their research and development in accordance with the applicable protocols and legal, regulatory and scientific standards; having accurately reported the results of all preclinical studies and clinical trials conducted with respect to such drug product; and having correctly collected and interpreted the data from these trials. If these activities were not compliant, accurate or correct, the clinical development, regulatory approval or commercialization of PIKTOR will be delayed and may be adversely affected.</w:t>
      </w:r>
    </w:p>
    <w:p>
      <w:pPr>
        <w:pStyle w:val="TextBody"/>
        <w:bidi w:val="0"/>
        <w:spacing w:before="0" w:after="120"/>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patients are enrolled and additional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to publish from time to time interim topline or preliminary data from our clinical trials. Interim data from clinical trials that we may complete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From time to time, we may also disclose interim data from our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reputation and business prospects. Further, disclosure of interim data by us or by our competitors could result in volatility in the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cross-trial comparisons we present regarding PIKTOR’s safety and efficacy profile relative to other PI3K/AKT/mTOR pathway agents are subject to significant limitations and may not be predictive of PIKTOR’s relative performance in future controlled studies.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this Report and in our other public communications, we present data comparing PIKTOR’s emerging clinical profile, including rates of hyperglycemia and stomatitis, pharmacokinetic and pharmacodynamic characteristics, and preclinical potency, to published data from clinical trials of approved single-node inhibitors and other multi-node inhibitors in development. These comparisons are derived from different clinical trials conducted at different times, with differences in trial design, patient populations, disease settings, dosing regimens, endpoints, sample sizes, follow-up periods, and adverse event grading criteria. No head-to-head clinical trials have been conducted comparing PIKTOR to any of the agents referenced in these comparisons, and cross-trial comparisons are inherently limited and may not accurately reflect the relative safety or efficacy of the agents being compared.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Physicians, patients, investors, and regulatory authorities may draw conclusions from these cross-trial comparisons that are not supported by the underlying data, or may discount PIKTOR’s potential based on the inherent limitations of such comparisons. If PIKTOR’s clinical profile does not compare as favorably to competing agents in head-to-head or registrational trials as our cross-trial analyses suggest, the commercial prospects and perceived differentiation of PIKTOR could be materially diminished.</w:t>
      </w:r>
    </w:p>
    <w:p>
      <w:pPr>
        <w:pStyle w:val="TextBody"/>
        <w:bidi w:val="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We depend on timely enrollment of patients in our clinical trials for our product candidates. 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with the disease or condition being studied;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risks and benefits of the product candidate in the trial, including with respect to PIKTOR, perceived risks related to results of prior trials of serabelisib and sapanisertib alone or in combination;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any risks associated with our competitors’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other new therapeutics;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drop out of the clinical trials before completion of their treatment;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we may not be able to control, such as pandemics, that may limit patients, principal investigators or staff or clinical site available.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addition, because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the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The market opportunities for certain of our product candidates may be limited to those patients who are ineligible for or have failed prior treatments and, therefore, may be small, and our projections regarding the size of the addressable market may be incorrect.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approach is based on multi-node inhibition of the PI3K/AKT/mTOR pathway. While emerging Phase 3 data from a competitor have provided clinical evidence supporting this broader concept, our specific product candidate, PIKTOR, has not been evaluated in registrational clinical trials, which makes it difficult for us to predict the time and cost of product development and potential for regulatory approval. Cancer therapies are sometimes characterized as first line, second line or third line, and the FDA often approves new therapies initially only for third line use. When cancers are detected they are treated with first line of therapy with the intention of curing the cancer. This treatment generally consists of chemotherapy, radiation, antibody drugs, tumor targeted small molecules, or a combination of these. If the patient’s cancer relapses, then the patient is given a second line or third line therapy, which can consist of more chemotherapy, radiation, antibody drugs, tumor targeted small molecules, or a combination of these. Generally, the higher the line of therapy, the lower the chance of a cure. With third or higher line, the goal of the therapy is to control the growth of the tumor and extend the life of the patient, as a cure is unlikely to happen. Patients are generally referred to clinical trials in these situations.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is no guarantee that any of our product candidates, even if approved, would be approved for an early line of therapy. In addition, we may have to conduct additional large randomized clinical trials prior to gaining approval for the earlier line of therapy.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projections of both the number of people who have the cancers we are targeting, as well as the size of the patient population subset of people with these cancers in a position to receive first, second, third and fourth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significant revenues without obtaining regulatory approval for additional indications or as part of earlier lines of therapy.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projections of addressable market opportunity for PIKTOR are based on estimates and assumptions that may prove incorrect, and the actual commercial opportunity may be substantially smaller than we expect.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made internal estimates of the total addressable market for PIKTOR and other product candidates targeting the PI3K/AKT/mTOR pathway, including estimates of patient populations, treatment penetration rates, and potential pricing. These estimates are based on a variety of sources, including published scientific literature, epidemiological data, market research and our own assumptions about competitive dynamics. However, these estimates are inherently uncertain and may prove to be materially incorrect.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actual addressable market for PIKTOR may be smaller than we estimate for several reasons, including: the number of patients with actionable alterations in the PI3K/AKT/mTOR pathway may be lower than projected; physicians may not adopt PIKTOR over established therapies; payors may restrict reimbursement; PIKTOR may initially be approved only for later-line treatment settings with smaller patient populations; competing products may capture significant market share before PIKTOR reaches the market; and advances in precision oncology may further segment the patient population. If the actual market opportunity for PIKTOR is materially smaller than our estimates, we may not be able to generate sufficient revenue to justify our development investment, which could have a material adverse effect on our business and financial condition.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particular, our estimates of PIKTOR’s addressable market include an assumption that multi-node inhibition may confer clinical benefit to patients whose tumors are activated through the PI3K/AKT/mTOR pathway in its non-mutated, or “wild-type,” state, either through dysregulated upstream signaling or as an adaptive response to prior therapy. This belief is based on limited clinical data from a small number of patients in an open-label, uncontrolled Phase 1b study in which responses were observed across multiple mutational classifications, including in patients with no detectable pathway mutations, and on our interpretation of PIKTOR’s mechanism of action. These observations have not been confirmed in larger or controlled clinical trials and may not be replicated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ongoing or planned studies. If multi-node inhibition does not demonstrate meaningful clinical benefit in patients without direct PI3K/AKT/mTOR pathway alterations, the addressable patient population for PIKTOR could be significantly smaller than we currently estimate, which would reduce our anticipated commercial opportunity and could have a material adverse effect on our business, financial condition, and prospects.</w:t>
      </w:r>
    </w:p>
    <w:p>
      <w:pPr>
        <w:pStyle w:val="TextBody"/>
        <w:bidi w:val="0"/>
        <w:spacing w:before="0" w:after="120"/>
        <w:jc w:val="left"/>
        <w:rPr>
          <w:rFonts w:ascii="Times New Roman" w:hAnsi="Times New Roman"/>
          <w:sz w:val="20"/>
        </w:rPr>
      </w:pPr>
      <w:r>
        <w:rPr>
          <w:rFonts w:ascii="Times New Roman" w:hAnsi="Times New Roman"/>
          <w:b/>
          <w:i/>
          <w:color w:val="000000"/>
          <w:sz w:val="20"/>
        </w:rPr>
        <w:t>Adverse side effects or other safety risks associated with our product candidates could delay or preclude approval, cause us to suspend or discontinue clinical trials, cause us to abandon product candidates, could limit the commercial profile of an approved label, or could result in significant negative consequences following any potential marketing approval.</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clinical trials will include cancer patients who are very sick and whose health is deteriorating. It is possible that some of these patients may experience side effects during our clinical trials. For example, in a prior clinical trial of PIKTOR, it was reported that one patient had Grade 3 septic shock that was determined to be drug-related. In addition, PI3K and mTOR inhibitors as a class are associated with known adverse effects including hyperglycemia, stomatitis, diarrhea, rash and hepatotoxicity. These class-effect toxicities have been observed with approved drugs targeting this pathway and may also be associated with PIKTOR. If these or other adverse effects occur with unacceptable frequency or severity in our clinical trials, our ability to develop and commercialize PIKTOR could be materially impaired. Further, patients may die during our clinical trials for various reasons. The causes of death could include receiving our product candidates because the patient’s disease is too advanced or because the patient experiences medical problems that may not be related to our product candidate. Even if the patient deaths are not related to our product candidate, the deaths could affect perceptions regarding the safety of our product candidates. Patient deaths and severe side effects caused by our product candidates, or by products or product candidates of other companies that are thought to have similarities with our product candidates, could result in the delay, suspension, clinical hold or termination of our clinical trials, the FDA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revenues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a number of potentially significant negative consequences could result,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regulatory authorities may withdraw or limit their approval of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“boxed”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Risk Evaluation and Mitigation Strategy, or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to remove such products from the marketplace;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Any of the foregoing could prevent us from achieving or maintaining market acceptance of the particular product candidate, if approved, and could significantly harm our business, results of operations, and prospects. </w:t>
      </w:r>
    </w:p>
    <w:p>
      <w:pPr>
        <w:pStyle w:val="TextBody"/>
        <w:bidi w:val="0"/>
        <w:spacing w:before="0" w:after="120"/>
        <w:jc w:val="left"/>
        <w:rPr>
          <w:rFonts w:ascii="Times New Roman" w:hAnsi="Times New Roman"/>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or any future collaboration partners from obtaining approvals for the commercialization of any other product candidate we develop.</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marketing approvals and expect to rely on third-party contract research organizations, or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any product candidates we may develop, the commercial prospects for those product candidates may be harmed, and our ability to generate revenues may be materially impaired.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Manufacturing and our Dependence on Third Parties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currently rely, and expect to continue to rely, on third parties to conduct, supervise, and monitor our preclinical studies and clinical trials. If those third parties do not perform satisfactorily, including failing to meet deadlines for the completion of such clinical trials or failing to comply with regulatory requirements, we may be unable to obtain regulatory approval for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currently rely on third-party CROs, academic institutions, study sites, clinical investigators and others to conduct, supervise, and monitor our preclinical studies and clinical trials. We expect to continue to rely on third parties, such as CROs, clinical data management organizations, medical institutions, and clinical investigators, to conduct our preclinical studies and clinical trials. Although we currently have or plan to enter into agreements governing the activities of these third parties,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develop PIKTOR and other current and future product candidates, or we may not obtain marketing approval for, or commercialize, PIKTOR or our other current and future product candidates in a timely manner or at all.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these agreements might terminate for a variety of reasons, including a failure to perform by the third parties. If we need to enter into alternative arrangements our product development activities could be delayed and our business, financial condition, results of operations, stock price and prospects may be materially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the FDA’s Good Laboratory Practice, or GLP, regulations,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the data generated in our trials may be deemed unreliable and the FDA or comparable foreign regulatory authorities may require us to perform additional studies.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cannot assure you that upon inspection by a given regulatory authority, such regulatory authority will determine that any of our clinical trials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the development of our product candidates. If these third parties do not successfully carry out their contractual duties, meet expected deadlines or conduct our preclinical studies or clinical trials in accordance with regulatory requirements or our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current and future product candidates; we may not be able to, or may be delayed in our efforts to, successfully commercialize current and future product candidates; or we or they may be subject to regulatory enforcement actions. As a result, our results of operations and the commercial prospects for current and future product candidates may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enter into collaborations for our current or future product candidates or technologies. We cannot control the timing or quantity of resources that our existing or future collaborators will dedicate to research, preclinical and clinical development. Our collaborators may not perform their obligations according to our expectations or standards of quality. Our collaborators could terminate our existing agreements for a number of reasons.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will also rely on other third parties to store and distribute our product candidates for the clinical trials that we plan to conduct. Any performance failure on the part of our distributors could delay clinical development, marketing approval, or commercialization of current and future product candidates, which could result in additional losses and deprive us of potential product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Certain of our current and future product candidates will be evaluated in combination with third-party drugs, and we will have limited or no control over the supply, regulatory status, or regulatory approval of such drugs.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develop and ultimately commercialize current and future product candidates used in combination with other compounds will depend on our ability to access such drugs on commercially reasonable terms for clinical trials and their availability for use with the commercialized product, if approved. Any failure to enter into successful commercial relationships, or inability to source or purchase other potential combination agents in the market, may delay our development timelines, increase our costs and jeopardize our ability to develop current and future product candidates as potential combination therapies, which may materially harm our business, financial condition, results of operations, stock price and prospects. Moreover, the development of product candidates for use in combination with another product or product candidate may present challenges that are not encountered when developing single-agent product candidates. For example, the FDA may require us to use more complex clinical trial designs in order to evaluate the contribution of each product and product candidate to any observed effects. Additionally, following product approval, the FDA may require that products used in conjunction with each other be cross labeled for combined use. To the extent that we do not have rights to the other product, this may require us to work with a third party under terms unfavorable to us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currently rely on CMOs for the production of PIKTOR and we expect to rely on CMOs for our other product candidates.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Because PIKTOR is a combination of two active pharmaceutical ingredients, our manufacturing and supply chain for PIKTOR requires coordination across two separate drug substances, and any disruption to the supply of either component could halt our entire development program. The need to maintain parallel supply chains for two drug substances increases our operational complexity and our vulnerability to supply disruptions compared to single-agent product candidates. We may not be able to secure backup suppliers for both components on commercially reasonable terms. Any significant delay in the supply of either serabelisib or sapanisertib could considerably delay our clinical development, increase our costs, and have a material adverse effect on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have no plans to build our own clinical or commercial scale manufacturing capabilities for our product candidates. Instead, we expect to rely on third parties for the manufacture of our product candidates and related raw materials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preclinical and clinical development, as well as for commercial manufacture if any of our product candidates receive marketing approval. We have entered into arrangements with a limited number of third-party contract manufacturing organizations, or CMOs, as part of our development of our product candidates. These CMOs will provide drug substance intermediate and drug product that will be subsequently labeled, packaged and distributed to our CROs. We may also enter into agreements with additional companies for the supply of substances for use in the development of our product candidates or any future product candidates or for the manufacture of such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or our third-party suppliers or manufacturers may encounter shortages in the raw materials or active pharmaceutical ingredient, or API, necessary to produce product candidates we may develop in the quantities needed for our clinical trials or, if any current or future product candidates we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Even if raw materials or API are available, we may be unable to obtain sufficient quantities at an acceptable cost or quality. The need to synchronize the procurement of two APIs for our fixed combination drug product candidate PIKTOR presents additional risk since any imbalance in availability and timing of one API would prevent the manufacture of finished drug product for clinical trials or commercial use. The failure by us or our third-party suppliers or manufacturers to obtain the raw materials or API necessary to manufacture sufficient quantities of any current or future product candidates we may develop could delay, prevent or impair our development efforts and may have a material adverse effect on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facilities used by third-party manufacturers to manufacture current or future product candidates must be authorized by the FDA pursuant to inspections that will be conducted after we submit a NDA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obtain regulatory approval for or market our product candidates, if approved.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Finding new CMOs or third-party suppliers involves additional cost and requires our management’s time and focus. In addition, there is typically a transition period when a new CMO commences work. Although we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any of our product candidates. Additionally, any changes implemented by a new CMO could delay completion of clinical trials, require the conduct of bridging clinical trials or studies, require the repetition of one or more clinical trials, increase clinical trial costs, delay approval of our current and future product candidates and jeopardize our ability to commence product sales and generate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or approved by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 or products. In addition, in the case of CMOs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part of their manufacture of our product candidates, our CMO and third-party suppliers are expected to comply with and respect the intellectual property and proprietary rights of others. If our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which could significantly impact our ability to develop, obtain regulatory approval for or commercialize our product candidates, if approved.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Even if we are able to establish agreements with third-party manufacturers, reliance on third-party manufacturers entails additional risks,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of third-party manufacturers to comply with regulatory requirements and maintain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manufacture our product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manufacture our product according to our schedule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difficulties caused by unforeseen events that may delay the availability of one or more of the necessary raw materials or delay the manufacture of any current or future product candidates for use in clinical trials or for commercial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or nonrenewal of the agreement by the third party at a time that is costly or inconvenient for 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Any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second sources of supply with alternative suppliers or CMOs to supplement or supply the raw materials, drug substances, intermediates, and drug product necessary for the manufacture of our product candidates, including PIKTOR. If our current third-party CMO cannot perform as agreed, we may be required to replace such manufacturer and we may be unable to replace them on a timely basis or at all.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Because we rely on a limited number of suppliers for the raw materials used in our drug candidates, any delay, shortage or interruption in the supply of such raw materials or contamination in our manufacturing process could lead to delays in the manufacture and supply of our drug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rely on third-parties to supply certain raw materials necessary to produce our drug candidates for preclinical studies and clinical trials. For example, we rely on third-parties to supply certain reagents, which are substances used in our manufacturing processes to bring about chemical or biological reactions, and other specialty materials and equipment, some of which are manufactured or supplied by small companies with limited resources. There are a small number of suppliers for certain raw materials that we use to manufacture our drug candidates. Certain of our suppliers or their sub-suppliers are based in China, which exposes us to additional risks including trade restrictions, tariffs, export controls, geopolitical tensions, and potential disruptions to the supply chain that are beyond our control. We work with our CMOs to purchase these materials from our suppliers who may not always have long-term supply agreements in place, which could expose us to a variety of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Any significant delay in the supply of raw materials for our drug candidates for a preclinical study or a clinical trial due to the need to replace a third-party supplier could considerably delay completion of certain preclinical studies and/or clinical trials. Moreover, if we are unable to purchase sufficient raw materials after regulatory approval for our drug candidates, the commercial launch of our drug candidates could be delayed, or there could be a supply shortage, each of which could impair our ability to generate revenues from their sale.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a material shortage, contamination, recall or restriction on the use of substances in the manufacture of our drug candidates, or the failure of any of our key suppliers to deliver necessary components required for the manufacture of our drug candidates, could adversely impact or disrupt the commercial manufacture or the production of clinical material, which could materially and adversely affect our development timelines and our business, financial condition, results of operations, and future prospects.</w:t>
      </w:r>
    </w:p>
    <w:p>
      <w:pPr>
        <w:pStyle w:val="TextBody"/>
        <w:bidi w:val="0"/>
        <w:spacing w:before="0" w:after="120"/>
        <w:jc w:val="left"/>
        <w:rPr>
          <w:rFonts w:ascii="Times New Roman" w:hAnsi="Times New Roman"/>
          <w:sz w:val="20"/>
        </w:rPr>
      </w:pPr>
      <w:r>
        <w:rPr>
          <w:rFonts w:ascii="Times New Roman" w:hAnsi="Times New Roman"/>
          <w:b/>
          <w:i/>
          <w:color w:val="000000"/>
          <w:sz w:val="20"/>
        </w:rPr>
        <w:t>Our employees, principal investigators, CROs and consultants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Regulatory Approval of our Product Candidates and Other Legal Compliance Matters</w:t>
      </w:r>
    </w:p>
    <w:p>
      <w:pPr>
        <w:pStyle w:val="TextBody"/>
        <w:bidi w:val="0"/>
        <w:spacing w:before="0" w:after="120"/>
        <w:jc w:val="left"/>
        <w:rPr>
          <w:rFonts w:ascii="Times New Roman" w:hAnsi="Times New Roman"/>
          <w:sz w:val="20"/>
        </w:rPr>
      </w:pPr>
      <w:r>
        <w:rPr>
          <w:rFonts w:ascii="Times New Roman" w:hAnsi="Times New Roman"/>
          <w:b/>
          <w:i/>
          <w:color w:val="000000"/>
          <w:sz w:val="20"/>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Whether the results from our clinical trials will suffice to obtain approval will be a review issue and the FDA may not grant approval and may require that we conduct one or more controlled clinical trials to obtain approval. Additionally, even if FDA does grant approval for one or more of our product candidates, it may be for a more narrow indication than we seek.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process of obtaining regulatory approvals, both in the United States and abroad, is expensive and often takes many years. If the FDA or a comparable foreign regulatory authority requires that we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enroll a sufficient number of patients in our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its proposed indication or a related companion diagnostic is suitable to identify appropriate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such that our clinical data are insufficient for approval.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our product candidates, the commercial prospects for our product candidates may be harmed and our ability to generate revenues will be materially impaired. </w:t>
      </w:r>
    </w:p>
    <w:p>
      <w:pPr>
        <w:pStyle w:val="TextBody"/>
        <w:bidi w:val="0"/>
        <w:spacing w:before="0" w:after="120"/>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guarantee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submit marketing applications in countries other than the United States.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 </w:t>
      </w:r>
    </w:p>
    <w:p>
      <w:pPr>
        <w:pStyle w:val="TextBody"/>
        <w:bidi w:val="0"/>
        <w:spacing w:before="0" w:after="120"/>
        <w:jc w:val="left"/>
        <w:rPr>
          <w:rFonts w:ascii="Times New Roman" w:hAnsi="Times New Roman"/>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the FDA or a comparable foreign regulatory authority approves any of our product candidates, the manufacturing processes, labeling, packaging, distribution, storage, advertising, promotion, import, export, recordkeeping, monitoring, and reporting for our product will be subject to extensive and ongoing regulatory requirements. These requirements include submissions of safety and other post-marketing information and reports, establishment registration and listing, as well as continued compliance with cGMPs and GCPs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FDA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revision to the labeling, including limitations on approved uses or the addition of additional warnings, contraindications or other safety information, including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REMS, which may include distribution or use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additional post-market clinical trials to assess the safety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other regulatory enforcement 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could adversely affect our business, prospects and ability to achieve or sustain profitability. </w:t>
      </w:r>
    </w:p>
    <w:p>
      <w:pPr>
        <w:pStyle w:val="TextBody"/>
        <w:bidi w:val="0"/>
        <w:spacing w:before="0" w:after="120"/>
        <w:jc w:val="left"/>
        <w:rPr>
          <w:rFonts w:ascii="Times New Roman" w:hAnsi="Times New Roman"/>
          <w:sz w:val="20"/>
        </w:rPr>
      </w:pPr>
      <w:r>
        <w:rPr>
          <w:rFonts w:ascii="Times New Roman" w:hAnsi="Times New Roman"/>
          <w:b/>
          <w:i/>
          <w:color w:val="000000"/>
          <w:sz w:val="20"/>
        </w:rPr>
        <w:t>If we are unable to successfully validate, develop and obtain regulatory approval for any required companion diagnostic tests for our product candidates or experience significant delays in doing so, we may fail to obtain approval or may not realize the full commercial potential of these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connection with the clinical development of our product candidates for certain indications, we may develop or engage third parties to develop or obtain access to in vitro companion diagnostic tests to identify patient subsets within a disease category who may derive benefit from our product candidates. Such companion diagnostics may be used during our clinical trials and may be required in connection with the FDA approval of our product candidates. To be successful, we or our collaborators will need to address a number of scientific, technical, regulatory and logistical challenges. Companion diagnostics are subject to regulation by the FDA, EMA and other regulatory authorities as medical devices and require separate regulatory approval prior to commercialization.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and our future collaborators may encounter difficulties in developing and obtaining approval for the companion diagnostics, including issues relating to selectivity/specificity, analytical validation, reproducibility, or clinical validation of companion diagnostics. We and our future collaborators also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or such approval may be delayed,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developing,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Our relationships with customers, healthcare professionals, and third-party payors will be subject to applicable anti-kickback, fraud and abuse and other healthcare laws and regulations, which could expose us to significant penalties, including criminal sanctions, administrative civil penalties, exclusion from government healthcare programs, contractual damages, reputational harm and diminished profits and future earnings.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current and future business operations and activities may subject us to additional healthcare statutory and regulatory requirements and enforcement by the federal government and the states and foreign governments in which we conduct our business. Healthcare providers and third-party payors play a primary role in the recommendation and prescription of any product candidates for which we obtain marketing approval. Our current and future arrangements with healthcare professionals, third-party payors and customers may expose us to broadly applicable fraud and abuse and other healthcare laws and regulations that may constrain the business or financial arrangements and relationships through which we research as well as market, sell and distribute our product candidates for which we obtain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the Centers for Medicare &amp; Medicaid Services, or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HITECH and its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certain regulatory licenses to manufacture or distribute our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it is possible that some of our business activities, including compensation of physicians with stock or stock options, could, despite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to comply, be subject to challenge under current or future statutes, regulations or case law interpreting applicable fraud and abuse or other healthcare laws and regulations. Ensuring that our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were to be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our operations, any of which could adversely affect our ability to operate our business and our results of operations.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In addition, the approval and commercialization of any of our product candidates outside the United States will also likely subject us to foreign equivalents of the healthcare laws mentioned above, among other foreign laws. </w:t>
      </w:r>
    </w:p>
    <w:p>
      <w:pPr>
        <w:pStyle w:val="TextBody"/>
        <w:bidi w:val="0"/>
        <w:spacing w:before="0" w:after="120"/>
        <w:jc w:val="left"/>
        <w:rPr>
          <w:rFonts w:ascii="Times New Roman" w:hAnsi="Times New Roman"/>
          <w:sz w:val="20"/>
        </w:rPr>
      </w:pPr>
      <w:r>
        <w:rPr>
          <w:rFonts w:ascii="Times New Roman" w:hAnsi="Times New Roman"/>
          <w:b/>
          <w:i/>
          <w:color w:val="000000"/>
          <w:sz w:val="20"/>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U.S.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Patient Protection and ACA was passed, which substantially changed the way healthcare is financed by both governmental and private insurers.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executive, judicial and congressional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current administration is pursuing policies to reduce regulations and expenditures across government agencies including at the U.S. Department of Health and Human Services, or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included in their prescription drug and other health care programs. These measures could reduce the ultimate demand for our products, once approved, or put pressure on our product pricing.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demand for our current or future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coverage and reimbursement approval for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Any reduction in reimbursement from Medicare or other government programs may result in a similar reduction in payments from private payors, which may adversely affect our future profitability.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Compliance with Trade Control laws may create delays in the introduction of our products in international markets or, in some cases, prevent the export of our products to some countries altogether. Furthermore, Trade Control laws prohibit the provision of certain products and services to countries, governments and persons targeted by sanctions.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the Commercialization of our Product Candidates</w:t>
      </w:r>
    </w:p>
    <w:p>
      <w:pPr>
        <w:pStyle w:val="TextBody"/>
        <w:bidi w:val="0"/>
        <w:spacing w:before="0" w:after="120"/>
        <w:jc w:val="left"/>
        <w:rPr>
          <w:rFonts w:ascii="Times New Roman" w:hAnsi="Times New Roman"/>
          <w:sz w:val="20"/>
        </w:rPr>
      </w:pPr>
      <w:r>
        <w:rPr>
          <w:rFonts w:ascii="Times New Roman" w:hAnsi="Times New Roman"/>
          <w:b/>
          <w:i/>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approved.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plan to work to build our commercialization capabilities internally over time such that we are able to commercialize any product candidate for which we may obtain regulatory approval. However, we currently have no sales, marketing or distribution capabilities and have no experience in marketing or distributing pharmaceutical products. To achieve commercial success for any product candidate for which we may obtain marketing approval, we will need to expand our sales and marketing organization and establish logistics and distribution processes to commercialize and deliver our product candidates to patients and healthcare providers. These activities will be expensive and time-consuming and will require significant attention of our executive officers to manage. There are risks involved in establishing our own sales and marketing capabilities, as well as with entering into arrangements with third parties to perform these services. Additionally, our beliefs that our products will be commercially viable have not been tested.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are unable or decide not to establish internal sales, marketing and distribution capabilities, we would have to pursue collaborative arrangements regarding the sales and marketing of our products. However, we may not be successful in entering into arrangements with third parties to sell, market and distribute our product candidates or may be unable to do so on terms that are favorable to us, or if we are able to do so, that they would be effective and successful in commercializing our products. Our product revenues and our profitability, if any, would likely to be lower than if we were to sell, market and distribute any product candidates that we develop ourselves. In addition, we would have limited control over such third parties, and any of them may fail to devote the necessary resources and attention to sell and market our product candidates effectively.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do not establish sales, marketing and distribution capabilities successfully, either on our own or in collaboration with third parties, we will not be successful in commercializing our product candidates in the United States or overseas. </w:t>
      </w:r>
    </w:p>
    <w:p>
      <w:pPr>
        <w:pStyle w:val="TextBody"/>
        <w:bidi w:val="0"/>
        <w:spacing w:before="0" w:after="120"/>
        <w:jc w:val="left"/>
        <w:rPr>
          <w:rFonts w:ascii="Times New Roman" w:hAnsi="Times New Roman"/>
          <w:sz w:val="20"/>
        </w:rPr>
      </w:pPr>
      <w:r>
        <w:rPr>
          <w:rFonts w:ascii="Times New Roman" w:hAnsi="Times New Roman"/>
          <w:b/>
          <w:i/>
          <w:color w:val="000000"/>
          <w:sz w:val="20"/>
        </w:rPr>
        <w:t>We operate in a rapidly changing industry and face significant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anticipate that we will compete with Alpelisib, Inavolisib, Capivasertib, Everolimus and Temsirolimus, all of which are approved drugs that target the PI3K/AKT/mTOR pathway. In addition, we are aware of several additional product candidates in clinical development that could potentially pose a direct competitive threat to PIKTOR, particularly for the treatment of advanced HR+/HER2- breast cancer. These product candidates include Gedatolisib, an intravenous pan-PI3K + mTORC1/2 inhibitor from Celcuity, whose New Drug Application for HR+/HER2-, PIK3CA wild-type metastatic breast cancer was accepted by the FDA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Priority Review and a Prescription Drug User Fee Act goal date of July 17, 2026; Tersolisib, an oral mutant-specific PI3Kα inhibitor from Eli Lilly currently in Phase 3 trials for HR+/HER2- breast cancer; Zovegalisib, an oral mutant-selective PI3Kα inhibitor from Relay Therapeutics currently in Phase 3 trials for advanced HR+/HER2- breast cancer; Afuresertib, an oral pan AKT inhibitor from Laekna Therapeutics currently in Phase 3 trials for advanced HR+/HER2- breast cancer; Paxalisib, an oral brain penetrant PI3K/mTOR inhibitor from Kazia Therapeutics currently in Phase 3 trials in glioblastoma; SNV4818, an oral pan-mutant-selective PI3Kα inhibitor acquired by Novartis from Synnovation Therapeutics in March 2026, currently in Phase 1/2 trials for HR+/HER2- breast cancer and other solid tumors; and OKI-219, an oral mutant-specific PI3Kα inhibitor from OnKure Therapeutics, currently in Phase 1/2 trials for HR+/HER2- breast cancer and other solid tumors. In addition, in July 2026, the FDA approved Celcuity’s gedatolisib, and in May 2026, Celcuity announced positive topline results from the PIK3CA mutant cohort of its Phase 3 VIKTORIA-1 trial, with both the gedatolisib triplet (gedatolisib plus fulvestrant plus palbociclib) and the gedatolisib doublet (gedatolisib plus fulvestrant) demonstrating statistically significant and clinically meaningful improvements in progression-free survival. Celcuity has indicated that it intends to submit a supplemental New Drug Application to the FDA for the PIK3CA mutant indication, and that detailed data from both VIKTORIA-1 cohorts will be presented at the 2026 American Society of Clinical Oncology Annual Meeting in early June 2026. Gedatolisib establish a meaningful market position before PIKTOR completes clinical development. The two cohorts together cover a substantial portion of the HR+/HER2- advanced breast cancer patient population, which could narrow the addressable population for PIKTOR if gedatolisib achieves favorable approval and reimbursement. Our competitive thesis is that multi-node inhibition is a superior mechanism to provide deeper, more tolerable suppression of the PI3K/AKT/mTOR pathway than is currently available in approved therapeutics. If our thesis is incorrect, or if new modalities are developed that better suppress the PI3K/AKT/mTOR pathway, our business would be materially and adversely impacted.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Several of these competing product candidates are in Phase 3 registrational trials with potential approval timelines that are ahead of our development timeline for PIKTOR. In particular, Celcuity has now reported positive topline Phase 3 results from both the PIK3CA wild-type cohort and the PIK3CA mutant cohort of its VIKTORIA-1 trial, had its New Drug Application for gedatolisib in HR+/HER2-, PIK3CA wild-type metastatic breast cancer approved by the FDA in July 2026, and has announced its intention to file a supplemental New Drug Application for the PIK3CA mutant indication. If one or more competitors obtains regulatory approval and establishes a market position before we are able to enter the market, it could significantly diminish the commercial opportunity for PIKTOR, particularly if the approved product addresses the same patient population or demonstrates a superior safety or efficacy profile. Additionally, mutant-selective PI3Ka inhibitors being developed by Eli Lilly (tersolisib) and Relay Therapeutics (zovegalisib) are also in Phase 3 development and, if approved, could reduce the addressable market for PIKTOR by providing an alternative targeted approach for patients with PI3K-mutant tumors. Large pharmaceutical companies are making significant investments in the PI3K/AKT/mTOR space. For example, in March 2026, Novartis announced the acquisition of Synnovation Therapeutics’ pan-mutant-selective PI3Kα inhibitor program, including SNV4818, which is currently in Phase 1/2 clinical development for HR+/HER2- breast cancer. This and similar acquisitions could result in additional well-resourced competitors with established commercial infrastructure entering the market ahead of or concurrent with PIKTOR, which could significantly diminish our commercial opportunity.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competitors with development-stage programs may obtain marketing approval from the FDA or other comparable regulatory authorities for their product candidates more rapidly than we do, and they could establish a strong market position before we are able to enter the market. In addition,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FDA or other regulatory approval for their products more rapidly than we may obtain approval for ours, which could result in our competitors establishing a strong market position for either their product or a specific indication before we are able to enter the market. </w:t>
      </w:r>
    </w:p>
    <w:p>
      <w:pPr>
        <w:pStyle w:val="TextBody"/>
        <w:bidi w:val="0"/>
        <w:spacing w:before="0" w:after="120"/>
        <w:jc w:val="left"/>
        <w:rPr>
          <w:rFonts w:ascii="Times New Roman" w:hAnsi="Times New Roman"/>
          <w:sz w:val="20"/>
        </w:rPr>
      </w:pPr>
      <w:r>
        <w:rPr>
          <w:rFonts w:ascii="Times New Roman" w:hAnsi="Times New Roman"/>
          <w:b/>
          <w:i/>
          <w:color w:val="000000"/>
          <w:sz w:val="20"/>
        </w:rPr>
        <w:t>Even if any of our product candidates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we obtain approvals from the FDA or other comparable regulatory agencies and are able to initiate commercialization of our product candidates or any other product candidates we develop, the product candidate may not achieve market acceptance among physicians, patients, hospitals, including pharmacy directors, and third-party payors and, ultimately, may not be commercially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successful. The degree of market acceptance of our product candidates, if approved for commercial sale, will depend on a number of factors,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physicians, hospitals, cancer treatment centers, and patients considering our product candidates as a safe and effective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or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our product candidates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upfront costs or training required for physicians to administer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adequate reimbursement from, and our ability to negotiate pricing with,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pay out-of-pocket in the absence of comprehensive coverage and reimbursement by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including as compared to alternative treatments and competitive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and distribution support.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efforts to educate physicians, patients, third-party payors and others in the medical community on the benefits of our product candidates, if approved, may require significant resources and may never be successful. Because we expect sales of our product candidates, if approved, to generate substantially all of our product revenue for the foreseeable future, the failure of our product candidates to find market acceptance could harm our business and could require us to seek additional financing.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our product candidates, if approved, achieve market acceptance, we may not be able to maintain that market acceptance over time if new products or technologies are introduced that are more favorably received than our products, are more cost effective or render our products obsolete. </w:t>
      </w:r>
    </w:p>
    <w:p>
      <w:pPr>
        <w:pStyle w:val="TextBody"/>
        <w:bidi w:val="0"/>
        <w:spacing w:before="0" w:after="120"/>
        <w:jc w:val="left"/>
        <w:rPr>
          <w:rFonts w:ascii="Times New Roman" w:hAnsi="Times New Roman"/>
          <w:sz w:val="20"/>
        </w:rPr>
      </w:pPr>
      <w:r>
        <w:rPr>
          <w:rFonts w:ascii="Times New Roman" w:hAnsi="Times New Roman"/>
          <w:b/>
          <w:i/>
          <w:color w:val="000000"/>
          <w:sz w:val="20"/>
        </w:rPr>
        <w:t>Coverage and adequate reimbursement may not be available for our current or any future product candidates, which could make it difficult for us to sell profitably, if approved.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Market acceptance and sales of any product candidates, if approved, that we commercialize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we develop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us to establish or maintain pricing sufficient to realize a sufficient return on our investment will be approved. Third-party payors are increasingly challenging the price, examining the medical necessity and reviewing the cost-effectiveness of medical products, therapies and services, in addition to questioning their safety and efficacy. We may incur significant costs to conduct expensive pharmaco-economic studies in order to demonstrate the medical necessity and cost-effectiveness of our product candidates, in addition to the costs required to obtain FDA approvals. Our product candidates may not be considered medically necessary or cost-effective.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and providers are unlikely to prescribe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products, unless coverage is provided and reimbursement is adequate to cover a significant portion of the cost of our products and their administration. Therefore, coverage and adequate reimbursement is critical to new medical product acceptance.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could negatively impact prescriptions for our product candidates, if approved.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Even if favorable coverage and reimbursement status is attained for one or more product candidates for which we receive regulatory approval, less favorable coverage policies and reimbursement rates may be implemented in the future.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our NEAAR program, which seeks to restrict patient intake of specific non-essential amino acids to suppress tumor growth, represents a novel therapeutic approach for which there is limited regulatory precedent. Dietary interventions are not subject to the same well-established regulatory approval pathways as pharmaceutical products, and it is unclear how the FDA or comparable foreign regulatory authorities would evaluate a dietary regimen as a component of a cancer treatment regimen. Even if we are able to generate clinical evidence supporting the use of NEAAR in combination with our other product candidates, third-party payors may be unwilling to provide coverage or reimbursement for a prescribed dietary intervention, which could limit patient adoption and reduce any potential commercial value of the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be sure that coverage and reimbursement in the United States or elsewhere will be available for any product that we may develop, and any reimbursement that may become available may be decreased or eliminated in the future. </w:t>
      </w:r>
    </w:p>
    <w:p>
      <w:pPr>
        <w:pStyle w:val="TextBody"/>
        <w:bidi w:val="0"/>
        <w:jc w:val="both"/>
        <w:rPr>
          <w:rFonts w:ascii="Times New Roman" w:hAnsi="Times New Roman"/>
          <w:sz w:val="20"/>
        </w:rPr>
      </w:pPr>
      <w:r>
        <w:rPr>
          <w:rFonts w:ascii="Times New Roman" w:hAnsi="Times New Roman"/>
          <w:b/>
          <w:i/>
          <w:color w:val="000000"/>
          <w:sz w:val="20"/>
        </w:rPr>
        <w:t>Our business, operational and financial goals may not be attainable if the market opportunities for our products are smaller than we expect. Our internal research and third-party estimates may not accurately reflect the market opportunities for PIKTOR or our other product candidates today or in the future.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total market opportunities that we believe exist are based on a variety of assumptions and estimates, including the size of the addressable patient population in applicable jurisdictions, the penetration of other drugs in these markets, the number of potential companion diagnostic programs we will be able to successfully pursue, the amount of potential milestone payments that we could receive in companion diagnostic programs, the number of patients we will test in clinical trials, the price we will be able to charge for our products and the total annual number of cancer patients with undiagnosed abnormal cell signaling. In addition, we have relied on third-party publications, research, surveys and studies for information related to determining market opportunities, including without limitation, information on the number of cancer patients and those receiving various forms of treatment, the cost of drug therapy, the amount of revenue generated from various types of drug therapy, the objective response rates of drug therapies, the number of deaths caused by cancer and the expected growth in cancer drug therapy and diagnostic markets. Our internal research and estimates on market opportunities have been verified by independent sources, but any or all of our assumptions and/or estimates may prove to be incorrect for several reasons, such as inaccurate reports or information that we have relied on, potential patients or providers not being amenable to using our products or such patients becoming difficult to identify and access, limited reimbursement for our products, pricing pressure due to availability of alternative drugs or an inability to obtain the necessary regulatory approvals for new indications. If any or all of our assumptions and estimates prove inaccurate, we may not attain our business, operational and financial goals.</w:t>
      </w:r>
    </w:p>
    <w:p>
      <w:pPr>
        <w:pStyle w:val="TextBody"/>
        <w:bidi w:val="0"/>
        <w:spacing w:before="0" w:after="120"/>
        <w:jc w:val="left"/>
        <w:rPr>
          <w:rFonts w:ascii="Times New Roman" w:hAnsi="Times New Roman"/>
          <w:sz w:val="20"/>
        </w:rPr>
      </w:pPr>
      <w:r>
        <w:rPr>
          <w:rFonts w:ascii="Times New Roman" w:hAnsi="Times New Roman"/>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product candidates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If we are unable to obtain and maintain effective patent protection for our technology and product candidates, or if the scope of the patent protection obtained is not sufficiently broad, we may not be able to compete effectively in our markets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rely upon a combination of patents, trade secret protection, trademarks, and confidentiality agreements to protect the intellectual property related to our product candidates and development programs. Our success depends in large part on our ability to obtain and maintain patents and other intellectual property protection in the United States and in other countries with respect to various proprietary elements of our product candidates, such as, for example, our product formulations and processes for manufacturing our products and our ability to maintain and control the confidentiality of our trade secrets and confidential information critical to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sought to protect our proprietary position by filing patent applications in the United States and abroad related to our products that are important to our business.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There is no guarantee that any patent application we file will result in an issued patent having claims that protect our products; and, as a result, we may not be able to effectively prevent others from commercializing competitive products. Additionally, while the basic requirements for patentability are similar across jurisdictions, each jurisdiction has its own specific requirements for patentability. We cannot guarantee that we will obtain identical or similar patent protection covering our products in all jurisdictions where we file patent applications. If the patent applications we hold or have in-licensed with respect to our development programs and product candidates fail to issue, if their breadth or strength of protection is threatened, or if they fail to provide meaningful exclusivity for any product candidate, it could dissuade companies from collaborating with us to develop product candidates and threaten our ability to commercialize any product candidates that are approved. Any such outcome could have a materially adverse effect on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patents and patent applications that we own or in-license may fail to result in issued patents with claims that protect our present and future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present or future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present or future product candidates or methods of using such. Further, if we encounter delays in regulatory approvals, the period of time during which we could market a product candidate under patent protection could be reduced.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patent position of biopharmaceutical companies are generally uncertain and involve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of these and other factors, the issuance, scope, validity, enforceability and commercial value of our patent rights are uncertain. The pending patent applications that we own or license may fail to result in issued patents with claims that cover our product candidates in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or in other countries for many reasons.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There is no assurance that all potentially relevant prior art relating to our patents and patent applications has been found, considered or cited during patent prosecution, which can be used to invalidate a patent or prevent a patent from issuing from a pending patent application.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Moreover, we have in the past, and may in the future be subject to a third-party pre-issuance submission of prior art to the USPTO. We may also become involved in opposition, derivation, reexamination, inter partes review, post-grant review or interference proceedings challenging our patent rights or the patent rights of others. For example, patents granted by the European Patent Office may be opposed by any person within nine months from the publication of their grant and, in addition, may be challenged before national courts at any time.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 If the breadth or strength of protection provided by the patents and patent applications we hold, license or pursue with respect to our product candidates is threatened, it could threaten our ability to prevent third parties from using the same technologies that we use in our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Method of use patents protect the use of a product for the specified method or indication. In the absence of separate composition of matter protection, this type of patent does not prevent a competitor from making and marketing a product that is identical to our product candidate(s) for an indication that is outside of the methods of use claimed in our patents. Moreover, even if competitor products are not approved for use in our patented indications, and our competitors do not actively promote their products for indications that are covered by our patents, clinicians may prescribe these competitor products “off-label.” Although off-label prescriptions may infringe or contribute to the infringement of method of use patents, such infringement is difficult to prevent or prosecute.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may not identify relevant patents or may incorrectly interpret the relevance, scope or expiration of a patent, which might adversely affect our ability to develop and market our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cannot guarantee that patent searches, including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candidates. We may incorrectly determine that our products are not covered by a third-party patent. Further, we may conclude that a well-informed court or other tribunal would find the claims of a relevant third-party patent to be invalid based on prior art, enablement, written description, or other ground, and that conclusion may be incorrect, which may negatively impact our ability to market our products or pipeline molecules.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Many patents may cover a marketed product, including the composition of the product, methods of use, formulations, cell line constructs, vectors, growth media, production processes and purification processes. The identification of all patents and their expiration dates relevant to the production and sale of a reference product is extraordinarily complex and requires sophisticated legal knowledge in the relevant jurisdiction. It may be impossible to identify all patents in all jurisdictions relevant to a marketed product. We may not identify all relevant patents, or incorrectly determine their expiration dates, which may negatively impact our ability to develop and market our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Failure to identify and correctly interpret relevant patents may negatively impact our ability to develop, market and commercialize our products.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 candidates.</w:t>
      </w:r>
    </w:p>
    <w:p>
      <w:pPr>
        <w:pStyle w:val="TextBody"/>
        <w:bidi w:val="0"/>
        <w:jc w:val="both"/>
        <w:rPr>
          <w:rFonts w:ascii="Times New Roman" w:hAnsi="Times New Roman"/>
          <w:color w:val="000000"/>
          <w:sz w:val="20"/>
        </w:rPr>
      </w:pPr>
      <w:r>
        <w:rPr>
          <w:rFonts w:ascii="Times New Roman" w:hAnsi="Times New Roman"/>
          <w:color w:val="000000"/>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or PTA, for patents in families where related patents have issued without PTA. Thus, it cannot be said with certainty how PTA will/will not be viewed in future and whether patent expiration dates may be impacted.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or the UPC, for litigation involving such patents. As the UPC is a relatively new court system, there is uncertainty regarding litigation at the UPC.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It is uncertain how the UPC will impact granted European patents in the pharmaceutical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0" w:after="12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Third-party claims or litigation alleging infringement of patents or other proprietary rights, or seeking to invalidate our patents or other proprietary rights, may delay or prevent our development and commercialization efforts.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commercial success depends in part on avoiding infringement of the patents and proprietary rights of third parties. There is a substantial amount of litigation, both within and outside the United States, involving patent and other intellectual property rights in the pharmaceutical industry, including patent infringement lawsuits, interferences, reexamination,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are developing product candidates. As the biopharmaceutical industry expands and more patents are issued, the risk increases that our product candidates or other business activities may be subject to claims of infringement of the patent rights of third parties. Third parties may assert that we are employing their proprietary technology without authorization.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may be third-party patents or patent applications with claims to compositions, formulations, methods of manufacture or methods for treatment related to the use or manufacture of our product candidates. Moreover, because patent applications can take many years to issue, there may be currently pending patent applications that may later result in issued patents covering our product candidates. The existence of any patent with valid and enforceable claims covering one or more of our product candidates could cause substantial delays in our ability to introduce a candidate into the U.S. market if the term of such patent extends beyond our desired product launch 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may also be patent applications that have been filed but not published and if such applications issue as patents, they could be asserted against us. For example, in most cases, a patent filed today would not become known to industry participants for at least 18 months given patent rules applicable in most jurisdictions that do not require publication of patent applications until 18 months after filing.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third parties may obtain patent rights in the future and claim that use of our technologies infringes upon these rights.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were held by a court of competent jurisdiction to cover aspects of our formulations, processes for manufacture or methods of use, the holders of any such patent may be able to block our ability to develop and commercialize the applicable product candidate unless we obtained a license or until such patent expires. In either case, such a license may not be available on commercially reasonable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infringement claims against us, we may become a party to other patent litigation and other proceedings, including interference, derivation or post-grant proceedings declared or granted by the USPTO and similar proceedings in foreign countries, regarding intellectual property rights with respect to our products.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Third parties may submit applications for patent term extensions in the United States or other jurisdictions where similar extensions are available and/or Supplementary Protection Certificates in the EU states seeking to extend certain patent protection that, if approved, may interfere with or delay the launch of one or more of our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cost to us of any patent litigation or other proceeding, even if resolved in our favor, could be substantial. Patent litigation and other proceedings may fail, and even if successful, may result in substantial costs and distract our management and other employees. Uncertainties resulting from the initiation and continuation of patent litigation or other proceedings could impair our ability to compete in the marketplace.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Furthermore, as the patent landscape is crowded and highly competitive, even in the absence of litigation we may need to obtain licenses from third parties to advance our research or allow commercialization of our product candidates. We may fail to obtain any of these licenses at a reasonable cost or on reasonable terms, if at all. Even if we are able to obtain a license, it may be non-exclusive, which means that our competitors may also receive access to the same technologies licensed to us. In that event, we may face commercial competition, which could harm our business. We cannot provide any assurances that third-party patents do not exist which might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enforced against product candidates resulting in either an injunction prohibiting our sales, or, with respect to our sales, an obligation on our part to pay royalties or other forms of compensation to third parties.</w:t>
      </w:r>
    </w:p>
    <w:p>
      <w:pPr>
        <w:pStyle w:val="TextBody"/>
        <w:bidi w:val="0"/>
        <w:jc w:val="left"/>
        <w:rPr>
          <w:rFonts w:ascii="Times New Roman" w:hAnsi="Times New Roman"/>
          <w:sz w:val="20"/>
        </w:rPr>
      </w:pPr>
      <w:r>
        <w:rPr>
          <w:rFonts w:ascii="Times New Roman" w:hAnsi="Times New Roman"/>
          <w:b/>
          <w:i/>
          <w:color w:val="000000"/>
          <w:sz w:val="20"/>
        </w:rPr>
        <w:t>We may need to license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may develop or license intellectual property for which development was funded or otherwise assisted by, the U.S. government and/or government agencies, such as the National Institutes of Health, for development of our technology and product candidates. Failure to meet our own obligations to future licensors or upstream licensors, including such government agencies, may result in the loss of our rights to such intellectual property, which could harm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U.S. government and/or government agencies may provide funding, facilities, personnel, or other assistance in connection with the development of the intellectual property rights owned by or licensed to us. The U.S. government and/or government agencies may retain rights in such intellectual property,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For example, research resulting in future in</w:t>
        <w:noBreakHyphen/>
        <w:t>licensed patent rights and technology that was funded in part by the U.S. government could result in the government having certain rights, or march</w:t>
        <w:noBreakHyphen/>
        <w:t>in rights, to such patent rights and technology which may permit the government to disclose our confidential information to third parties and to exercise march</w:t>
        <w:noBreakHyphen/>
        <w:t>in rights to use or allow third parties to use our licensed technology, potentially on unfavorable terms or without adequate compensation.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the patents of our licensors or our other intellectual property rights, which could be expensive, time-consuming and unsuccessful.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the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The outcome following legal assertions of invalidity and unenforceability is unpredictable, and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and decide that we do not have the right to stop the other party from using the invention at issue on the grounds that our patent claims do not cover the invention or that the other party’s use of our patented technology falls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safe harbor to patent infringement under 35 U.S.C. §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Even if we establish infringement, the court may decide not to grant an injunction against further infringing activity and instead award only monetary damages, which may or may not be an adequate remedy.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market price of common shares.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employ individuals and retain independent contractors and consultants who were previously employed at universities or other pharmaceutical companies, including our competitors or potential competitors. Although we seek to protect our ownership of intellectual property rights by ensuring that our agreements with our employees, independent contractors, consultants,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such persons’ former companies or other third parties. We may also be subject to claims that such persons or other third parties have an ownership interest in our intellectual property.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while we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asserting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party to certain license agreements (e.g. with Takeda and The Regents) pursuant to which we were granted rights to intellectual property in connection with the development, manufacture and commercialization of certain product candidates. If we fail to comply with our obligations under these agreements or if we are subject to a bankruptcy, we may be required to make certain payments to the licensor of our license or the licensor may have the right to terminate the license, and in the event of termination we may not be able to develop or market products covered by the license. In the event we breach any of our obligations under these agreements, we may incur significant liability to our research and licensing partners. Disputes may arise regarding intellectual property subject to a licensing agreement,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patents and other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harm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our license agreements do, and we expect that future license agreements will, impose various diligence, milestone payment, royalty, insurance and/or other obligations on us. If we breach any material obligations, or use the intellectual property licensed to us in an unauthorized manner, we may be required to pay damages and the licensor(s) may have the right to terminate the license, which could result in us being unable to develop, manufacture and sell products that are covered by the licensed technology or enable a competitor to gain access to the licensed technology, and could compromise our development and commercialization efforts for our product candidates.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 filings and other intellectual property.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in the future be subject to claims that former employees, collaborators or other third parties have an interest in our patent applications or patents we may be granted or other intellectual property as an inventor or co-inventor. For example, we may have inventorship or ownership disputes arise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pStyle w:val="TextBody"/>
        <w:bidi w:val="0"/>
        <w:jc w:val="left"/>
        <w:rPr>
          <w:rFonts w:ascii="Times New Roman" w:hAnsi="Times New Roman"/>
          <w:sz w:val="20"/>
        </w:rPr>
      </w:pPr>
      <w:r>
        <w:rPr>
          <w:rFonts w:ascii="Times New Roman" w:hAnsi="Times New Roman"/>
          <w:b/>
          <w:i/>
          <w:color w:val="000000"/>
          <w:sz w:val="20"/>
        </w:rPr>
        <w:t>Any trademarks we may obtain may be infringed or successfully challenged, resulting in harm to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any proprietary name we propose to use with our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resources in an effort to identify a suitable proprietary product name that would qualify under applicable trademark laws, not infringe the existing rights of third parties and be acceptable to the FDA.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such as, our employees, consultants, board members, contractors, potential collaborators and financial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 adequate remedies for any breach. Our confidential information and trade secrets thus may become known by our competitors in ways we cannot prove or remedy.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require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Misappropriation or unauthorized disclosure of our trade secrets could impair our competitive position and may harm our business. Additionally, if the steps taken to maintain our trade secrets are deemed inadequate, we may have insufficient recourse against third parties for misappropriating any trade secret. We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impair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Filing, prosecuting, defending and enforcing patents and trademarks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or trademark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importing products made using our inventions into the United States or other jurisdictions and we may not be able to use our trademarks in all countries or prevent others from using or registering similar trademarks.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United States. These products may compete with our products and our patents or other intellectual property rights may not be effective or sufficient to prevent them from competing.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being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approved, and could provoke third parties to assert claims against us. We may not prevail in any lawsuits that we initiate and the damages or other remedies awarded, if any, may not be commercially meaningful. Governments of some foreign countries may force us to license our patents to third parties on terms that are not commercially reasonable or acceptable to us. In addition, many countries limit the enforceability of patents against government agencies or government contractors.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Further, the standards applied by the USPTO and foreign patent offices in granting patents are not always applied uniformly or predictably.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unpredictable.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geopolitical actions in the United States and in other countries could increase the uncertainties and costs surrounding the prosecution or maintenance of our patent applications or those of any future licensors and the maintenance, enforcement, or defense of our issued patents or those of any future licensors. As a result, our competitive position may be impaired, and our business, financial condition, results of operations, and prospects may be adversely affected.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Periodic maintenance fees on any issued patent are due to be paid to the USPTO and other foreign patent agencies in several stages over the lifetime of the patent. We rely on our outside counsel or third-party vendors to pay these fees. The USPTO, CIPO and various foreign national or international patent agencies require compliance with a number of procedural, documentary, fee payment and other similar provisions during the patent application process.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our present and future product candidates, our competitors might be able to enter the market, which would have an adverse effect on our business.</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Business Operations</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We will be required to expand our development and regulatory capabilities and potentially implement sales, marketing and distribution capabilities, and as a result, we may encounter difficulties in managing our growth, which could disrupt our operations.</w:t>
      </w:r>
    </w:p>
    <w:p>
      <w:pPr>
        <w:pStyle w:val="TextBody"/>
        <w:bidi w:val="0"/>
        <w:jc w:val="both"/>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our development and commercialization plans and strategies develop, and as we continue operating as a public company, we expect to need and to experience significant growth in the number of our employees and the scope of our operations, particularly in the areas of drug development, regulatory affairs and, if our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and human resources, we may not be able to effectively manage the expansion of our operations or recruit and train additional qualified personnel, as the competition for individuals in oncology product development is high. Our future financial performance and our ability to commercialize our product candidates will depend, in part, on our ability to effectively manage any future growth, and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jc w:val="left"/>
        <w:rPr>
          <w:rFonts w:ascii="Times New Roman" w:hAnsi="Times New Roman"/>
          <w:sz w:val="20"/>
        </w:rPr>
      </w:pPr>
      <w:r>
        <w:rPr>
          <w:rFonts w:ascii="Times New Roman" w:hAnsi="Times New Roman"/>
          <w:b/>
          <w:i/>
          <w:color w:val="000000"/>
          <w:sz w:val="20"/>
        </w:rPr>
        <w:t>Our future success depends on our ability to retain key members of senior management and to attract, retain and motivate qualified personnel.</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ability to compete in the highly competitive biopharmaceutical industry depends upon our ability to attract and retain highly qualified management, research and development, clinical, financial and business development personnel. Our senior management may terminate their employment with us at any time, and we do not maintain “key person” insurance for any of our employees.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Acquisition resulted in a combined management team that is small relative to our development ambitions. We are heavily dependent on a limited number of individuals with specialized expertise in PI3K/AKT/mTOR pathway biology, metabolic oncology, and clinical development of combination products. The loss of one or more of these individuals, particularly during the critical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post-Acquisition integration period, could significantly delay our clinical development programs. Competition for individuals with this specialized expertise is intense, and we may not be able to recruit suitable replacements on acceptable terms or in a timely manner.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Following the Acquisition, certain of our employees who previously worked at a private company are now subject to public company compliance obligations, and any failure to comply with these obligations could expose us to regulatory risk and reputational harm.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of the Acquisition, a number of individuals who previously operated in a private company environment are now employees or officers of a publicly traded company and are subject to public company compliance obligations, including compliance with our insider trading policy, Section 16 reporting requirements under the Securities Exchange Act of 1934, Regulation FD restrictions on selective disclosure of material nonpublic information, and quiet period restrictions around SEC filings. These individuals may not have prior experience with public company compliance requirements.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implemented onboarding and training programs to educate former Faeth employees regarding these obligations. However, there can be no assurance that all individuals will fully understand or consistently comply with these requirements, particularly during the initial post-Acquisition integration period. Any inadvertent violation of insider trading laws, Section 16 reporting obligations, or Regulation FD could result in SEC enforcement action, personal liability for the individuals involved, and reputational harm to the company. Such violations could also undermine investor confidence in our corporate governance practices and adversely affect the trading price of our common stock.</w:t>
      </w:r>
    </w:p>
    <w:p>
      <w:pPr>
        <w:pStyle w:val="TextBody"/>
        <w:bidi w:val="0"/>
        <w:jc w:val="left"/>
        <w:rPr>
          <w:rFonts w:ascii="Times New Roman" w:hAnsi="Times New Roman"/>
          <w:sz w:val="20"/>
        </w:rPr>
      </w:pPr>
      <w:r>
        <w:rPr>
          <w:rFonts w:ascii="Times New Roman" w:hAnsi="Times New Roman"/>
          <w:b/>
          <w:i/>
          <w:color w:val="000000"/>
          <w:sz w:val="20"/>
        </w:rPr>
        <w:t>If we engage in future acquisitions or strategic collaborations,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programs and initiatives in pursuing such a strategic partnership, merger or acquisition;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our inability to generate revenue from acquired technology sufficient to meet our objectives in undertaking the acquisition or even to offset the associated acquisition and maintenance costs.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Additionally, if we undertake future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to limit commercialization of any products that we may develop.</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reduced resources of our management to pursue our business strategy;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decreased demand for any product candidates or products that we may develop;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significant costs to defend the resulting litigation;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substantial monetary awards paid to clinical trial participants or patients;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inability to commercialize any products that we may develop.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do not currently maintain product liability insurance because we have determined that the cost of available coverage is not justified relative to our current stage of clinical development. Once we are ready for a product launch, we intend to bind a policy with product liability insurance coverage in the aggregate and a per incident limit at an amount adequate to cover estimated liabilities that we may incur. We may need to increase our insurance coverage if we re-initiate our clinical trials or if we commence commercialization of our product candidates. Insurance coverage is increasingly expensive. We may not be able to maintain insurance coverage at a reasonable cost or in an amount adequate to satisfy any liability that may arise.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Securities and our Status as a Public Company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The trading price of our common stock may be volatile, and you could lose all or part of your investment.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common stock. In addition to the factors discussed elsewhere in this “Risk Factors” section, these factors include: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commencement, enrollment or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positive or negative results from, or delays in, testing and clinical trials by us, collaborators or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loss of any of our key scientific or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actions taken by regulatory agencies with respect to our clinical trials or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or developments in laws or regulations applicable to our product candidates and preclinical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and scope of health 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our relationships with collaborators,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concerns regarding the safety of our product candidates ;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concerning our competitors or the pharmaceutical industry in general;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fluctuations in our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financial estimates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acquisitions, financing, collaborations or other corporate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develop, acquire or in-license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volume of our common stock on Nasdaq;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members of our senior management and directors or our stockholders or the anticipation that such sales may occur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political, and market conditions and overall fluctuations in the financial markets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market price and volume fluctuations of comparable companies and, in particular, those that operate in the biopharmaceutical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general perception of us and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and factors, many of which are beyond our control.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These and other market and industry factors may cause the market price and demand for our common stock to fluctuate substantially, regardless of our actual operating performance, which may limit or prevent investors from selling their common stock at or above the price paid for the common stock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From time to time, we have been, and may continue to be, subject to legal proceedings and claims in the ordinary course of business. We also may decide to settle lawsuits on unfavorable terms.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and operations could be negatively affected by any securities litigation or stockholder activism, which could cause us to incur significant expense, hinder execution of business and growth strategies and impact our share price.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securities or other reasons may in the future cause us to become the target of securities litigation or stockholder activism.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litigation and stockholder activism, including proxy contests, could result in substantial costs and divert management’s and the Board of Director’s attention and resources from our business. The potential of a proxy contest or other stockholder activism could interfere with our ability to execute on our strategic plan, give rise to perceived uncertainties as to our future direction, result in the loss of potential business opportunities or make it more difficult to attract and retain qualified personnel, any of which could materially and adversely affect our business and operating results. Further, our share price could be subject to significant fluctuation or otherwise be adversely affected by the events, risks and uncertainties of any securities litigation and stockholder activism.</w:t>
      </w:r>
    </w:p>
    <w:p>
      <w:pPr>
        <w:pStyle w:val="TextBody"/>
        <w:bidi w:val="0"/>
        <w:jc w:val="left"/>
        <w:rPr>
          <w:rFonts w:ascii="Times New Roman" w:hAnsi="Times New Roman"/>
          <w:sz w:val="20"/>
        </w:rPr>
      </w:pPr>
      <w:r>
        <w:rPr>
          <w:rFonts w:ascii="Times New Roman" w:hAnsi="Times New Roman"/>
          <w:b/>
          <w:i/>
          <w:color w:val="000000"/>
          <w:sz w:val="20"/>
        </w:rPr>
        <w:t>A significant portion of our total outstanding shares may be sold into the market, which could cause the market price of our common stock to drop significantly, even if our business is doing well.</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substantial amounts of our shares of common stock in the public market, the market price of our common stock could decline significantly.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we have filed registration statements registering the issuance of all shares of common stock subject to options or other equity awards issued or reserved for future issuance under our equity incentive plans. Shares registered under these registration statements will be available for sale in the public market subject to vesting arrangements and exercise of options and, in the case of our affiliates, the restrictions of Rule 144 under the Securities 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Furthermore, certain holders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Finally, in connection with the execution of the Agreement and Plan of Merger, or the Merger Agreement, dated as of February 17, 2026, by and among the Company, Sapphire First Merger Sub, Inc., a Delaware corporation and wholly owned subsidiary of the Company, Sapphire Second Merger Sub, LLC, a Delaware limited liability company and wholly owned subsidiary of the Company, Faeth Subsidiary and Faeth HoldCo, certain of our directors and officers, as well as certain of the directors, officers and stockholders of Faeth Therapeutics, each as of immediately prior to the Acquisition, entered into lock-up agreements, pursuant to which each such stockholder is subject to a 180-day lockup on the sale or transfer of shares of our common stock and Series B Preferred Stock held by each such stockholder, including those shares received by directors and officers in the Acquisition, subject to certain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exceptions as set forth in such lock-up agreements. Upon expiration of this 180-day lockup period, these shares will become eligible for sale in the public market. Pursuant to the Merger Agreement and the registration rights agreement that we entered into pursuant to the 2026 Private Placement, filed a resale registration statement with the SEC to register the resale of shares of our common stock underlying the Series B Preferred Stock and warrant to purchase shares of Series B Preferred Stock, and such shares shares subject to the registration statement now no longer constitute restricted securities and may be sold freely in the public markets, subject to any beneficial ownership limitations set by the holder of Series B Preferred Stock. If our stockholders sell, or indicate an intention to sell, substantial amounts of our common stock in the public market after legal restrictions on resale lapse, the trading price of our common stock could decline.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will make our shares of common stock less attractive to investors.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For as long as we continue to be an emerging growth company, we may take advantage of exemptions from various reporting requirements that are applicable to other public companies that are not emerging growth companies, including the auditor attestation requirements in the assessment of our internal control over financial reporting under Section 404(b) of the Sarbanes-Oxley Act, compliance with any new requirements adopted by the PCAOB, disclosure obligations regarding executive compensation in our periodic reports and proxy statements, and the requirements of holding advisory “say-on-pay” votes on executive compensation and stockholder advisory votes on golden parachute compensation not previously approved. Certain of these reduced reporting requirements and exemptions are also available to us due to the fact that we qualify as a “smaller reporting company” under SEC rules. For instance, smaller reporting companies are not required to obtain an auditor attestation and report regarding management’s assessment of internal control over financial reporting, are not required to provide a compensation discussion and analysis, are not required to provide a pay-for-performance graph or CEO pay ratio disclosure and may present only two years of audited financial statements and related MD&amp;A disclosure.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JOBS Act, we will remain an emerging growth company until the earliest of (1) the last day of the fiscal year in which we have more than $1.235 billion in annual revenue; (2) the date we qualify as a “large accelerated filer,” with at least $700.0 million of equity securities held by non-affiliates; (3) the issuance, in any three-year period, by our company of more than $1.0 billion in non-convertible debt securities; and (4) December 31, 2026, which is the last day of the fiscal year following the fifth anniversary of the date of the first sale of our common stock pursuant to an effective registration statement filed under the Securities Act. Under current SEC rules, however, we will continue to qualify as a “smaller reporting company” for so long as (i) we have a public float (i.e., the market value of common equity held by non-affiliates) of less than $250 million or (ii) our annual revenue is less than $100 million during the most recently completed fiscal year and the market value of our common stock held by non-affiliates is less than $700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JOBS Act, emerging growth companies also can delay adopting new or revised accounting standards until such time as those standards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condensed consolidated financial statements may not be directly comparable to those of other public companies.</w:t>
      </w:r>
    </w:p>
    <w:p>
      <w:pPr>
        <w:pStyle w:val="TextBody"/>
        <w:bidi w:val="0"/>
        <w:jc w:val="left"/>
        <w:rPr>
          <w:rFonts w:ascii="Times New Roman" w:hAnsi="Times New Roman"/>
          <w:sz w:val="20"/>
        </w:rPr>
      </w:pPr>
      <w:r>
        <w:rPr>
          <w:rFonts w:ascii="Times New Roman" w:hAnsi="Times New Roman"/>
          <w:b/>
          <w:i/>
          <w:color w:val="000000"/>
          <w:sz w:val="20"/>
        </w:rPr>
        <w:t>We do not anticipate paying any cash dividends on our common stock in the foreseeable future.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do not intend to pay any cash dividends on our common stock in the foreseeable future and we currently intend to retain our future earnings, if any, to fund the development and growth of our business. Therefore, you should not rely on an investment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common stock to provide dividend income. 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common stock will be your sole source of gains for the foreseeable future.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subject to federal, state and local income and other taxes in the United States and in foreign jurisdictions because of the scope of our operations. 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example, the U.S. government recently enacted legislation commonly referred to as the One Big Beautiful Bill Act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Internal Revenue Service and other taxing authorities with respect to this and other legislation may affect us, and certain aspects of such legislation could be repealed or modified in future legislation or sunset in future years. In addition, it is uncertain if and to what extent various states will conform to federal law. We continue to evaluate the impact that these and other tax reforms may have on our business. To the extent that any such changes in tax laws and regulations have a negative impact on us, including as a result of related uncertainty, our business, financial condition, results of operations and cash flows may be materially and adversely impacted and we may be required to implement changes to minimize increases in our tax liability.</w:t>
      </w:r>
    </w:p>
    <w:p>
      <w:pPr>
        <w:pStyle w:val="TextBody"/>
        <w:bidi w:val="0"/>
        <w:jc w:val="left"/>
        <w:rPr>
          <w:rFonts w:ascii="Times New Roman" w:hAnsi="Times New Roman"/>
          <w:sz w:val="20"/>
        </w:rPr>
      </w:pPr>
      <w:r>
        <w:rPr>
          <w:rFonts w:ascii="Times New Roman" w:hAnsi="Times New Roman"/>
          <w:b/>
          <w:i/>
          <w:color w:val="000000"/>
          <w:sz w:val="20"/>
        </w:rPr>
        <w:t>Our ability to use our net operating losses to offset future taxable income may be subject to certain limitations.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net operating loss, or NOL, carryforwards could expire unused and be unavailable to offset future income tax liabilities because of their limited duration or because of restrictions under U.S. tax law. U.S. federal NOLs generated in taxable years beginning before January 1, 2018 are permitted to be carried forward for only 20 taxable years under applicable U.S. federal income tax law. Under the Tax Cuts and Jobs Act of 2017, or the Tax Act, as modified by the Coronavirus Aid, Relief, and Economic Security Act, or the CARES Act, NOLs arising in taxable years beginning after December 31, 2017 may be carried forward indefinitely, but the deductibility of such NOLs generally will be limited in taxable years beginning after December 31, 2020 to 80% of current year taxable income. As of December 31, 2025, we had NOL carryforwards for federal and state income tax purposes of approximately $170.5 million and $98.9 million, respectively, a portion of which expired beginning in 2025. Net operating loss carryforwards generated after December 31, 2017 for federal tax reporting purposes of $137.2 million have an indefinite life. The remaining federal net operating losses are subject to a 20-year carryforward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Following the approval of the Company Stockholder Matters on June 10, 2026, the Acquisition resulted in an ownership change for us and, accordingly, our NOL carryforwards and certain other tax attributes may be subject to limitations (or disallowance) on their use. Faeth’s NOL carryforwards may also be subject to limitations as a result of prior shifts in equity ownership and/or the Acquisition. We may also have experienced an ownership change in the past, and may experience ownership changes in the future as a result of subsequent shifts in our stock ownership, some of which are outside our control. Furthermore, our ability to utilize NOLs of Faeth that we acquired as a result of the Acquisition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We have incurred and expect to continue incurring significantly increased costs as a result of operating as a company whose common stock is publicly traded, and our management will be required to devote substantial time to new compliance initiatives.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a public company, we have incurred significant legal, accounting and other expenses that we did not incur previously, as a private company. These expenses will likely be even more significant after we no longer qualify as an emerging growth company. The Sarbanes-Oxley Act, the Dodd-Frank Wall Street Reform and Consumer Protection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we expect that these rules and regulations may make it more difficult and more expensive for us to obtain director and officer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insurance, which in turn could make it more difficult for us to attract and retain qualified senior management personnel or members for our board of directors.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Pursuant to Section 404, we are required to furnish a report by our senior management on our internal control over financial reporting. Depending upon our filer status, we could also be required to include an attestation report on internal control over financial reporting issued by our independent registered public accounting firm as required by Section 404(b). To prepare for eventual compliance with Section 404,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t>
      </w:r>
    </w:p>
    <w:p>
      <w:pPr>
        <w:pStyle w:val="TextBody"/>
        <w:bidi w:val="0"/>
        <w:jc w:val="left"/>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and, to the extent enforceable,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the Court of Chancery of the State of Delaware and, to the extent enforceable, the federal district courts of the United States of America, will be the exclusive forum for the following types of actions or proceedings under Delaware statutory or common law: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any derivative claim or cause of action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for breach of a fiduciary duty owed by any of our current or former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against us or any of our current or former directors, officers or other employees, arising out of or pursuant to any provision of the Delaware General Corporation Law, or DGCL, our certificate of incorporation or our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seeking to interpret, apply, enforce or determine the validity of our certificate of incorporation or our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or proceeding as to which the DGCL confers jurisdiction to the Court of Chancery of the State of Delaware;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Securities Act or the Securities Exchange Act of 1934, or the Exchange Act, or any claim for which the U.S. federal courts have exclusive jurisdiction. Our amended and restated certificate of incorporation will provide that the federal district courts of the United States of America will be the exclusive forum for resolving any complaint asserting a cause of action arising under the Securities 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any other court of competent jurisdiction were to find either exclusive-forum provision in our amended and restated certificate of incorporation to be inapplicable or unenforceable, we may incur additional costs associated with resolving the dispute in other jurisdictions, which could seriously harm our business. </w:t>
      </w:r>
    </w:p>
    <w:p>
      <w:pPr>
        <w:pStyle w:val="TextBody"/>
        <w:bidi w:val="0"/>
        <w:jc w:val="left"/>
        <w:rPr>
          <w:rFonts w:ascii="Times New Roman" w:hAnsi="Times New Roman"/>
          <w:b/>
          <w:i/>
          <w:color w:val="000000"/>
          <w:sz w:val="20"/>
        </w:rPr>
      </w:pPr>
      <w:r>
        <w:rPr>
          <w:rFonts w:ascii="Times New Roman" w:hAnsi="Times New Roman"/>
          <w:b/>
          <w:i/>
          <w:color w:val="000000"/>
          <w:sz w:val="20"/>
        </w:rPr>
        <w:t>Insiders have substantial influence over us and could cause us to take actions that may not be, or refrain from taking actions that may be, in our best interest or in the best interest of our stockholders.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believe that our directors, executive officers and principal stockholders, together with their affiliates, own, in the aggregate, a substantial portion of our outstanding common stock. As a result, if these or certain of these stockholders were to choose to act together, they may be able to affect the outcome of matters submitted to our stockholders for approval, as well as our management and affairs, such as: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composition of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adoption of amendments to our certificate of incorporation and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mergers or sales of substantially all of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capital structure and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contracts between us and these stockholders or their affiliates, which could involve conflicts of interest.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This concentration of ownership could harm the market price of our common stock by: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delaying, deferring or preventing a change in control of our company and making some transactions more difficult or impossible without the support of these stockholders, even if such transactions are beneficial to other stockholders;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impeding a merger, consolidation, takeover or other business combination involving our company;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requiring us to engage in transactions that may not be agreeable to or in the best interest of us or other stockholders.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the Acquisition</w:t>
      </w:r>
    </w:p>
    <w:p>
      <w:pPr>
        <w:pStyle w:val="TextBody"/>
        <w:bidi w:val="0"/>
        <w:jc w:val="left"/>
        <w:rPr>
          <w:rFonts w:ascii="Times New Roman" w:hAnsi="Times New Roman"/>
          <w:b/>
          <w:i/>
          <w:color w:val="000000"/>
          <w:sz w:val="20"/>
        </w:rPr>
      </w:pPr>
      <w:r>
        <w:rPr>
          <w:rFonts w:ascii="Times New Roman" w:hAnsi="Times New Roman"/>
          <w:b/>
          <w:i/>
          <w:color w:val="000000"/>
          <w:sz w:val="20"/>
        </w:rPr>
        <w:t>There is no guarantee that the Acquisition will increase stockholder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2026, we consummated the Acquisition, pursuant to which we acquired Faeth, and we closed the 2026 Private Placement. We cannot guarantee that implementing the Acquisition and related transactions will not impair stockholder value or otherwise adversely affect our business. The Acquisition poses significant integration challenges between our businesses and employees which could result in management and business disruptions, any of which could harm our results of operation, business prospects, and impair the value of the Acquisition to our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failure to successfully integrate the businesses of the Company and Faeth Therapeutics in the expected timeframe could adversely affect our results of operations, financial condition, and future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successfully integrate the operations of the Company and Faeth Therapeutics will depend, in part, on our ability to realize the anticipated benefits from the Acquisition. If we are not able to achieve these objectives within the anticipated time frame, or at all, the anticipated benefits of the Acquisition may not be realized fully, or at all, or may take longer to realize than expected, and the value of our common stock may be adversely affected. In addition, the integration of the Company’s and Faeth’s respective businesses will be a time-consuming and expensive process. Proper planning and effective and timely implementation will be critical to avoid any significant disruption to our operations. There can be no assurance that we will effectively manage the increased complexity of our business without experiencing operating inefficiencies or control deficiencies. Delays encountered in the integration process could have a material adverse effect on our expenses, operating results and financial condition, including the value of shares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expect to incur substantial expenses related to the integration of Faeth.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incurred, and expect to continue to incur, substantial expenses in connection with the Acquisition and the integration of Faeth. There are a large number of processes, policies, procedures, operations, technologies and systems that must be integrated, including accounting and finance, billing, payroll, and benefits. Both the Company and Faeth have incurred significant transaction expenses in connection with the drafting and negotiation of the Merger Agreement, and the related ancillary agreements.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integration expenses likely will result in our taking significant charges against earnings following the completion of the Acquisition, and the amount and timing of such charges are uncertain at present.</w:t>
      </w:r>
    </w:p>
    <w:p>
      <w:pPr>
        <w:pStyle w:val="TextBody"/>
        <w:bidi w:val="0"/>
        <w:spacing w:before="120" w:after="120"/>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operations and clinical development plans and timelines, as well as the manufacturing, clinical trial and other business activities performed by us or by third parties with whom we conduct business, including our contract manufacturers, CROs, shippers, equipment suppliers and others, could be adversely affected by the effects of health epidemics.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business could be adversely affected by health epidemics wherever we have clinical trial sites or other business operations. In addition, health epidemics could cause significant disruption in the operations of third-party manufacturers, CROs and other third parties upon whom we rely. The effects of government orders may negatively impact productivity, disrupt our business and delay our clinical programs and timelines, the magnitude of which will depend, in part, on the length and severity of the restrictions and other limitations on our ability to conduct our business in the ordinary course.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our relationships with our suppliers or other vendors are terminated or scaled back as a result of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our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or experience additional restrictions by their institutions, city or state, our clinical trial operations could be adversely impacted.</w:t>
      </w:r>
    </w:p>
    <w:p>
      <w:pPr>
        <w:pStyle w:val="TextBody"/>
        <w:bidi w:val="0"/>
        <w:spacing w:before="120" w:after="120"/>
        <w:jc w:val="left"/>
        <w:rPr>
          <w:rFonts w:ascii="Times New Roman" w:hAnsi="Times New Roman"/>
          <w:sz w:val="20"/>
        </w:rPr>
      </w:pPr>
      <w:r>
        <w:rPr>
          <w:rFonts w:ascii="Times New Roman" w:hAnsi="Times New Roman"/>
          <w:b/>
          <w:i/>
          <w:color w:val="000000"/>
          <w:sz w:val="20"/>
        </w:rPr>
        <w:t>If our information systems or data, or those of our collaborators, contractors, consultants or other third parties with whom we work, are or were compromised, we could experience adverse consequences, including but not limited to regulatory investigations or actions; litigation; fines and penalties; significant disruption of our product development programs and our ability to operate our business effectively; reputational harm; and other adverse consequences.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ordinary course of our business, we and the third parties with whom we work, process, collect, receive, store, process, generate, use, transfer, disclose, make accessible, protect, secure, dispose of, transmit, and share, or, collectively, process, proprietary, confidential, and sensitive data, including personal data, intellectual property, trade secrets and clinical trial data, or, collectively, sensitive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computer viruses, malicious or unintentional actions or inactions that cause vulnerabilities, malware, software or hardware failure, supply chain attacks, social engineering (including through deep fakes, which may be increasingly more difficult to identify as fake, and phishing), credential stuffing, ransomware, unauthorized access, attacks enhanced or facilitated by artificial intelligence, or AI, natural disasters, terrorism, war and telecommunication and electrical failures. In particular,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or past business transactions (such as acquisitions or mergers)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Remote work has increased risks to our information systems and data, as personnel utilize network connections, computers and devices outside of our premises or network.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operate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in the past and may in the future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this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Such an actual or perceived security incident could also cause us to experience other adverse consequences, such as: loss of, or damage to, our data or applications, inappropriate disclosure of confidential or proprietary information, legal liability, exposure to litigation (including class claims) and regulatory enforcement action (for example, investigations, fines, penalties, audits and inspections), additional reporting requirements and/or oversight, fines, penalties, indemnification obligations, harm to our competitive position, reputational damage, and delay in the further development and commercialization of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pStyle w:val="TextBody"/>
        <w:bidi w:val="0"/>
        <w:spacing w:before="240" w:after="283"/>
        <w:jc w:val="left"/>
        <w:rPr>
          <w:rFonts w:ascii="Times New Roman" w:hAnsi="Times New Roman"/>
          <w:sz w:val="20"/>
        </w:rPr>
      </w:pPr>
      <w:r>
        <w:rPr>
          <w:rFonts w:ascii="Times New Roman" w:hAnsi="Times New Roman"/>
          <w:b/>
          <w:i/>
          <w:color w:val="000000"/>
          <w:sz w:val="20"/>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(or that of the third parties with whom we work) to comply with these obligations could lead to regulatory investigations or actions; litigation (including class claims) and mass arbitration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demands; fines and penalties; disruptions of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the ordinary course of business, we process personal data and other sensitive information.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privacy and data security laws, including federal and state health information privacy laws, federal and state security breach notification laws, federal and state consumer protection laws, and other similar laws (e.g., wiretapping laws). For example, at the federal level, HIPAA, as amended by HITECH, imposes specific requirements relating to the privacy, security and transmission of individually identifiable health information. Additionally,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subject to the CCPA to provide specific disclosures in privacy notices and respond to requests of such individuals to exercise certain rights concerning their personal data. The CCPA provides fines for noncompliance and a limited private right of action in connection with certain data breaches. While the CCPA and other U.S. state comprehensive consumer privacy laws exempt certain personal data processed in connection with clinical trials, these developments could further complicate compliance efforts, and increase legal risk and compliance costs for us and the third parties with whom we work should we become subject to these laws. Similar laws have been passed or are being considered in several other states, as well as at the federal and local levels, and we expect more governments to pass similar laws in the future. The evolving patchwork of local,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European Union’s General Data Protection Regulation (“EU GDPR”) the United Kingdom’s General Data Protection Regulation (“UK GDPR”) (collectively, “GDPR”), Brazil’s General Data Protection Law (Lei Geral de Proteção de Dados Pessoais, or “LGPD”) (Law No. 13,709/2018), and India’s Information Technology Act and supplementary rules, impose strict requirements for processing personal data. The EU GDPR governs the collection, use, disclosure, transfer or other processing of personal data of European Economic Area (“EEA”) residents. Among other things, the EU GDPR imposes requirements regarding the security of personal data and notification of data processing obligations to the competent national data processing authorities, changes the lawful bases on which personal data can be processed, expands the definition of personal data over prior EU law and requires changes to informed consent practices, as well as more detailed notices for clinical trial subjects and investigators. The EU GDPR also provides for substantial fines for breaches and violations (up to the greater of €20 million or 4% of annual global revenue). The EU GDPR also confers a private right of action on data subjects and consumer associations to lodge complaints with supervisory authorities, seek judicial remedies and obtain compensation for damages resulting from violations of the EU GDPR.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increasingly use artificial intelligence and machine learning tools across our operations and business functions, and we expect our use of such tools to expand over time. While we believe that the responsible use of AI tools can enhance our operational efficiency, these tools present risks that could adversely affect our business. AI-generated outputs may be inaccurate, incomplete, or misleading, and reliance on such outputs without adequate human oversight could result in errors in regulatory submissions, clinical or scientific analyses, contractual provisions, or public disclosures. In addition, the input of proprietary, confidential, or sensitive information into third-party AI platforms could result in the inadvertent disclosure of trade secrets, attorney-client privileged materials, or material nonpublic information. The regulatory landscape governing the use of AI in the life sciences and pharmaceutical industries is rapidly evolving, and new laws, regulations, or guidance — including those arising from the current administration’s policy initiatives — could impose additional compliance obligations, restrict certain uses of AI tools, or increase our exposure to regulatory enforcement actions or litigation. Any failure to adequately govern our use of AI tools could result in reputational harm, regulatory scrutiny, or legal liability. 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to data privacy and security laws, we are and may in the future become bound by contractual obligations and industry standards related to data privacy and security, and our efforts to comply with such obligations may not be successful. We publish privacy policies and other statements regarding data privacy and security. Regulators are increasingly scrutinizing these statements, and if these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Obligations related to data privacy and security (and consumers’ data privacy obligations) are quickly changing, becoming increasingly stringent,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data on our behalf. In addition, these obligations may require us to change aspects of our business model or our clinical trials.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we endeavor to comply with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 claims) and mass arbitration demands; additional reporting requirements and/or oversight; bans or restrictions on processing personal data; orders to destroy or not use personal data; and/or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operations, and those of our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the price and trading volume of our common stock could decline.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equity research analysts publish about us and our business. As a public company, we have only limited research coverage by equity research analysts. Equity research analysts may elect not to initiate or continue to provide research coverage of our common stock, and such lack of research coverage may adversely affect the market price of our common stock. Even if we continue to have equity research analyst coverage, we will not have any control over the analysts or the content and opinions included in their reports. The price of our common stock could decline if one or more equity research analysts downgrade our common stock or issue other unfavorable commentary or research about us. If one or more equity research analysts ceases coverage of us or fails to publish reports on us regularly, demand for our common stock could decrease, which in turn could cause the trading price or trading volume of our common stock to decline.</w:t>
      </w:r>
    </w:p>
    <w:p>
      <w:pPr>
        <w:pStyle w:val="TextBody"/>
        <w:bidi w:val="0"/>
        <w:spacing w:before="24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Use of Proceeds from Initial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fiscal quarter ended June 30, 2026, none of our officers or directors, as defined in Rule 16a-1(f), adopted, modified or terminated a "Rule 10b5-1 trading arrangement" or a "non-Rule 10b5-1 trading arrangement," as those terms are defined in Item 408 of Regulation S-K. </w:t>
      </w:r>
    </w:p>
    <w:p>
      <w:pPr>
        <w:pStyle w:val="TextBody"/>
        <w:bidi w:val="0"/>
        <w:spacing w:before="240" w:after="283"/>
        <w:jc w:val="left"/>
        <w:rPr>
          <w:rFonts w:ascii="Times New Roman" w:hAnsi="Times New Roman"/>
          <w:sz w:val="20"/>
        </w:rPr>
      </w:pPr>
      <w:bookmarkStart w:id="19" w:name="item_6_exhibits_financial_statement_sche"/>
      <w:bookmarkEnd w:id="19"/>
      <w:r>
        <w:rPr>
          <w:rFonts w:ascii="Times New Roman" w:hAnsi="Times New Roman"/>
          <w:b/>
          <w:color w:val="000000"/>
          <w:sz w:val="20"/>
        </w:rPr>
        <w:t>Item 6.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Exhibits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pPr>
            <w:hyperlink r:id="rId2">
              <w:r>
                <w:rPr>
                  <w:rStyle w:val="InternetLink"/>
                  <w:rFonts w:ascii="Times New Roman" w:hAnsi="Times New Roman"/>
                  <w:color w:val="0563C1"/>
                  <w:sz w:val="20"/>
                  <w:u w:val="single"/>
                </w:rPr>
                <w:t>Amended and Restated Certificate of Incorporation (incorporated by reference to Exhibit 3.1 to the Registrant’s Current Report on Form 8-K (File No. 001-39980), filed with the SEC on February 11,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pPr>
            <w:hyperlink r:id="rId3">
              <w:r>
                <w:rPr>
                  <w:rStyle w:val="InternetLink"/>
                  <w:rFonts w:ascii="Times New Roman" w:hAnsi="Times New Roman"/>
                  <w:color w:val="0563C1"/>
                  <w:sz w:val="20"/>
                  <w:u w:val="single"/>
                </w:rPr>
                <w:t>Certificate of Amendment to Amended and Restated Certificate of Incorporation (incorporated by reference to Exhibit 3.1 to the Registrant’s Current Report on Form 8-K (File No. 001-39980), filed with the SEC on June 13,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pPr>
            <w:hyperlink r:id="rId4">
              <w:r>
                <w:rPr>
                  <w:rStyle w:val="InternetLink"/>
                  <w:rFonts w:ascii="Times New Roman" w:hAnsi="Times New Roman"/>
                  <w:color w:val="0563C1"/>
                  <w:sz w:val="20"/>
                  <w:u w:val="single"/>
                </w:rPr>
                <w:t>Amended and Restated Bylaws (incorporated by reference to Exhibit 3.1 to the Registrant’s Current Report on Form 8-K (File No. 001-39980), filed with the SEC on December 9,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pPr>
            <w:hyperlink r:id="rId5">
              <w:r>
                <w:rPr>
                  <w:rStyle w:val="InternetLink"/>
                  <w:rFonts w:ascii="Times New Roman" w:hAnsi="Times New Roman"/>
                  <w:color w:val="0563C1"/>
                  <w:sz w:val="20"/>
                  <w:u w:val="single"/>
                </w:rPr>
                <w:t>Certificate of Designations of the Series A Junior Participating Cumulative Preferred Stock of the Registrant, dated March 7, 2023 (incorporated by reference to Exhibit 3.1 to the Registrant’s Registration Statement on Form 8-A, filed with the Securities and Exchange Commission on March 7, 2023, File No. 005-92222)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1"/>
        <w:gridCol w:w="146"/>
        <w:gridCol w:w="9418"/>
      </w:tblGrid>
      <w:tr>
        <w:trPr/>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8" w:type="dxa"/>
            <w:tcBorders/>
            <w:vAlign w:val="center"/>
          </w:tcPr>
          <w:p>
            <w:pPr>
              <w:pStyle w:val="TableContents"/>
              <w:bidi w:val="0"/>
              <w:spacing w:before="0" w:after="283"/>
              <w:jc w:val="left"/>
              <w:rPr>
                <w:sz w:val="4"/>
                <w:szCs w:val="4"/>
              </w:rPr>
            </w:pPr>
            <w:r>
              <w:rPr>
                <w:sz w:val="4"/>
                <w:szCs w:val="4"/>
              </w:rPr>
            </w:r>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563C1"/>
                  <w:sz w:val="20"/>
                  <w:u w:val="single"/>
                </w:rPr>
                <w:t>Certificate of Elimination of the Series A Junior Participating Cumulative Preferred Stock of the Registrant (incorporated by reference to Exhibit 3.4 to the Registrant’s Annual Report on Form 10-K (File No. 001-39980), filed with the SEC on March 28, 2025).</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563C1"/>
                  <w:sz w:val="20"/>
                  <w:u w:val="single"/>
                </w:rPr>
                <w:t>Certificate of Designation of Series B Non-Voting Convertible Preferred Stock (incorporated by reference to Exhibit 3.1 to the Registrant’s Current Report on Form 8-K (File No. 001-39980), filed with the SEC on February 18, 2026).</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120" w:after="283"/>
              <w:jc w:val="left"/>
              <w:rPr/>
            </w:pPr>
            <w:hyperlink r:id="rId8">
              <w:r>
                <w:rPr>
                  <w:rStyle w:val="InternetLink"/>
                  <w:rFonts w:ascii="Times New Roman" w:hAnsi="Times New Roman"/>
                  <w:color w:val="0563C1"/>
                  <w:sz w:val="20"/>
                  <w:u w:val="single"/>
                </w:rPr>
                <w:t>Sensei Biotherapeutics, Inc. Severance and Change in Control Plan (incorporated by reference to Exhibit 10.1 to the Registrant’s Quarterly Report on Form 10-Q (File No. 001-39980), filed with the SEC on May 15, 2026).</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120" w:after="283"/>
              <w:jc w:val="left"/>
              <w:rPr/>
            </w:pPr>
            <w:hyperlink r:id="rId9">
              <w:r>
                <w:rPr>
                  <w:rStyle w:val="InternetLink"/>
                  <w:rFonts w:ascii="Times New Roman" w:hAnsi="Times New Roman"/>
                  <w:color w:val="0563C1"/>
                  <w:sz w:val="20"/>
                  <w:u w:val="single"/>
                </w:rPr>
                <w:t>Sensei Biotherapeutics, Inc. Amended and Restated Non-Employee Director Compensation Policy (incorporated by reference to Exhibit 10.1 to the Registrant’s Quarterly Report on Form 10-Q (File No. 001-39980), filed with the SEC on May 15, 2026).</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snse-ex10_3.htm">
              <w:r>
                <w:rPr>
                  <w:rStyle w:val="InternetLink"/>
                  <w:rFonts w:ascii="Times New Roman" w:hAnsi="Times New Roman"/>
                  <w:color w:val="0563C1"/>
                  <w:sz w:val="20"/>
                  <w:u w:val="single"/>
                </w:rPr>
                <w:t>Employment Agreement, dated March 11, 2026, by and between the Registrant and Brian Stephenson.</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8"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snse-ex31_1.htm">
              <w:r>
                <w:rPr>
                  <w:rStyle w:val="InternetLink"/>
                  <w:rFonts w:ascii="Times New Roman" w:hAnsi="Times New Roman"/>
                  <w:color w:val="0563C1"/>
                  <w:sz w:val="20"/>
                  <w:u w:val="single"/>
                </w:rPr>
                <w:t>Certification of Principal Executive Officer Pursuant to Rules 13a-14(a) and 15d-14(a) under the Securities Exchange Act of 1934, as Adopted Pursuant to Section 302 of the Sarbanes-Oxley Act of 2002.</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8"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snse-ex31_2.htm">
              <w:r>
                <w:rPr>
                  <w:rStyle w:val="InternetLink"/>
                  <w:rFonts w:ascii="Times New Roman" w:hAnsi="Times New Roman"/>
                  <w:color w:val="0563C1"/>
                  <w:sz w:val="20"/>
                  <w:u w:val="single"/>
                </w:rPr>
                <w:t>Certification of Principal Financial Officer Pursuant to Rules 13a-14(a) and 15d-14(a) under the Securities Exchange Act of 1934, as Adopted Pursuant to Section 302 of the Sarbanes-Oxley Act of 2002.</w:t>
              </w:r>
            </w:hyperlink>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8"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snse-ex32_1.htm">
              <w:r>
                <w:rPr>
                  <w:rStyle w:val="InternetLink"/>
                  <w:rFonts w:ascii="Times New Roman" w:hAnsi="Times New Roman"/>
                  <w:color w:val="0563C1"/>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563C1"/>
                <w:sz w:val="20"/>
              </w:rPr>
              <w:t>.</w:t>
            </w:r>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(the instance document does not appear in the Interactive Data File because its XBRL tags are embedded within the Inline XBRL document).</w:t>
            </w:r>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41"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418"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209" w:type="dxa"/>
        <w:jc w:val="left"/>
        <w:tblInd w:w="0" w:type="dxa"/>
        <w:tblLayout w:type="fixed"/>
        <w:tblCellMar>
          <w:top w:w="28" w:type="dxa"/>
          <w:left w:w="28" w:type="dxa"/>
          <w:bottom w:w="28" w:type="dxa"/>
          <w:right w:w="28" w:type="dxa"/>
        </w:tblCellMar>
      </w:tblPr>
      <w:tblGrid>
        <w:gridCol w:w="556"/>
        <w:gridCol w:w="1351"/>
        <w:gridCol w:w="406"/>
        <w:gridCol w:w="289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Faeth Therapeutics,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4,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Anand Parikh</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Anand Parikh</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4,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Stephenson</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Stephenson</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4,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Josiah Craver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0"/>
              </w:rPr>
              <w:t>Josiah Craver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Senior Vice President of Finance</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1" w:name="snse-ex10_3.htm"/>
      <w:bookmarkStart w:id="22" w:name="kssnseex10_3"/>
      <w:bookmarkEnd w:id="21"/>
      <w:bookmarkEnd w:id="22"/>
      <w:r>
        <w:rPr>
          <w:rFonts w:ascii="Times New Roman" w:hAnsi="Times New Roman"/>
          <w:color w:val="000000"/>
          <w:sz w:val="20"/>
        </w:rPr>
        <w:t>Exhibit 10.3</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w:t>
      </w:r>
      <w:r>
        <w:rPr>
          <w:rFonts w:ascii="Times New Roman" w:hAnsi="Times New Roman"/>
          <w:b/>
          <w:color w:val="000000"/>
          <w:sz w:val="20"/>
        </w:rPr>
        <w:t xml:space="preserve">EMPLOYMENT AGREEMENT </w:t>
      </w:r>
      <w:r>
        <w:rPr>
          <w:rFonts w:ascii="Times New Roman" w:hAnsi="Times New Roman"/>
          <w:color w:val="000000"/>
          <w:sz w:val="20"/>
        </w:rPr>
        <w:t>(the “</w:t>
      </w:r>
      <w:r>
        <w:rPr>
          <w:rFonts w:ascii="Times New Roman" w:hAnsi="Times New Roman"/>
          <w:b/>
          <w:i/>
          <w:color w:val="000000"/>
          <w:sz w:val="20"/>
        </w:rPr>
        <w:t>Agreement</w:t>
      </w:r>
      <w:r>
        <w:rPr>
          <w:rFonts w:ascii="Times New Roman" w:hAnsi="Times New Roman"/>
          <w:color w:val="000000"/>
          <w:sz w:val="20"/>
        </w:rPr>
        <w:t>”) is entered into effective as of March 11, 2026 (the “</w:t>
      </w:r>
      <w:r>
        <w:rPr>
          <w:rFonts w:ascii="Times New Roman" w:hAnsi="Times New Roman"/>
          <w:b/>
          <w:i/>
          <w:color w:val="000000"/>
          <w:sz w:val="20"/>
        </w:rPr>
        <w:t>Effective Date</w:t>
      </w:r>
      <w:r>
        <w:rPr>
          <w:rFonts w:ascii="Times New Roman" w:hAnsi="Times New Roman"/>
          <w:color w:val="000000"/>
          <w:sz w:val="20"/>
        </w:rPr>
        <w:t>”), by and between Sensei Biotherapeutics, Inc. (the “</w:t>
      </w:r>
      <w:r>
        <w:rPr>
          <w:rFonts w:ascii="Times New Roman" w:hAnsi="Times New Roman"/>
          <w:b/>
          <w:i/>
          <w:color w:val="000000"/>
          <w:sz w:val="20"/>
        </w:rPr>
        <w:t>Company</w:t>
      </w:r>
      <w:r>
        <w:rPr>
          <w:rFonts w:ascii="Times New Roman" w:hAnsi="Times New Roman"/>
          <w:color w:val="000000"/>
          <w:sz w:val="20"/>
        </w:rPr>
        <w:t>”) and Brian Stephenson, PhD (the “</w:t>
      </w:r>
      <w:r>
        <w:rPr>
          <w:rFonts w:ascii="Times New Roman" w:hAnsi="Times New Roman"/>
          <w:b/>
          <w:i/>
          <w:color w:val="000000"/>
          <w:sz w:val="20"/>
        </w:rPr>
        <w:t>Executive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desires to employ Executive in the capacity of full-time Head of Operations and Finance pursuant to the terms of this Agreement and, in connection therewith, to compensate Executive for Executive’s personal services to the Company;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Executive wishes to be employed by the Company and provide personal services to the Company in return for certain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Accordingly, in consideration of the mutual promises and covenants contained herein, the parties agree to the following:</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left"/>
        <w:rPr/>
      </w:pPr>
      <w:r>
        <w:rPr>
          <w:rFonts w:ascii="Times New Roman" w:hAnsi="Times New Roman"/>
          <w:b/>
          <w:color w:val="000000"/>
          <w:sz w:val="20"/>
          <w:u w:val="single"/>
        </w:rPr>
        <w:t>EMPLOYMENT BY THE COMPANY</w:t>
      </w:r>
      <w:r>
        <w:rPr>
          <w:rFonts w:ascii="Times New Roman" w:hAnsi="Times New Roman"/>
          <w:b/>
          <w:color w:val="000000"/>
          <w:sz w:val="2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0" w:after="0"/>
        <w:jc w:val="left"/>
        <w:rPr/>
      </w:pPr>
      <w:r>
        <w:rPr>
          <w:rFonts w:ascii="Times New Roman" w:hAnsi="Times New Roman"/>
          <w:b/>
          <w:color w:val="000000"/>
          <w:sz w:val="20"/>
          <w:u w:val="single"/>
        </w:rPr>
        <w:t>At-Will Employment</w:t>
      </w:r>
      <w:r>
        <w:rPr>
          <w:rFonts w:ascii="Times New Roman" w:hAnsi="Times New Roman"/>
          <w:color w:val="000000"/>
          <w:sz w:val="20"/>
        </w:rPr>
        <w:t>. Executive shall be employed by the Company on an “at-will” basis, meaning either the Company 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pPr>
      <w:r>
        <w:rPr>
          <w:rFonts w:ascii="Times New Roman" w:hAnsi="Times New Roman"/>
          <w:b/>
          <w:color w:val="000000"/>
          <w:sz w:val="20"/>
          <w:u w:val="single"/>
        </w:rPr>
        <w:t>Position</w:t>
      </w:r>
      <w:r>
        <w:rPr>
          <w:rFonts w:ascii="Times New Roman" w:hAnsi="Times New Roman"/>
          <w:color w:val="000000"/>
          <w:sz w:val="20"/>
        </w:rPr>
        <w:t>. Subject to the terms set forth herein, the Company agrees to employ Executive in the position of Head of Operations and Finance, and Executive hereby accepts such employment. During the term of Executive’s employment with the Company, Executive will devote Executive’s best efforts and substantially all of Executive’s business time and attention to the business of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pPr>
      <w:r>
        <w:rPr>
          <w:rFonts w:ascii="Times New Roman" w:hAnsi="Times New Roman"/>
          <w:b/>
          <w:color w:val="000000"/>
          <w:sz w:val="20"/>
          <w:u w:val="single"/>
        </w:rPr>
        <w:t>Duties</w:t>
      </w:r>
      <w:r>
        <w:rPr>
          <w:rFonts w:ascii="Times New Roman" w:hAnsi="Times New Roman"/>
          <w:color w:val="000000"/>
          <w:sz w:val="20"/>
        </w:rPr>
        <w:t>. Executive will report to the Company’s President (“</w:t>
      </w:r>
      <w:r>
        <w:rPr>
          <w:rFonts w:ascii="Times New Roman" w:hAnsi="Times New Roman"/>
          <w:b/>
          <w:i/>
          <w:color w:val="000000"/>
          <w:sz w:val="20"/>
        </w:rPr>
        <w:t>President</w:t>
      </w:r>
      <w:r>
        <w:rPr>
          <w:color w:val="000000"/>
        </w:rPr>
        <w:t>”</w:t>
      </w:r>
      <w:r>
        <w:rPr>
          <w:rFonts w:ascii="Times New Roman" w:hAnsi="Times New Roman"/>
          <w:i/>
          <w:color w:val="000000"/>
          <w:sz w:val="20"/>
        </w:rPr>
        <w:t xml:space="preserve">) </w:t>
      </w:r>
      <w:r>
        <w:rPr>
          <w:rFonts w:ascii="Times New Roman" w:hAnsi="Times New Roman"/>
          <w:color w:val="000000"/>
          <w:sz w:val="20"/>
        </w:rPr>
        <w:t>performing such duties as are normally associated with Executive’s then-current position and such duties as are assigned to Executive from time to time, subject to the oversight and direction of the President. In addition, Executive will work with the President and other members of the Company’s executive management team on strategic planning, business direction and performance, and corporate priorities and action plans. Executive shall perform Executive’s duties under this Agreement remotely. In addition, Executive shall make such business trips to such places as may be necessary or advisable for the efficient operations of the Company, including but not limited to board meetings and corporate offsite meetings.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left"/>
        <w:rPr/>
      </w:pPr>
      <w:r>
        <w:rPr>
          <w:rFonts w:ascii="Times New Roman" w:hAnsi="Times New Roman"/>
          <w:b/>
          <w:color w:val="000000"/>
          <w:sz w:val="20"/>
          <w:u w:val="single"/>
        </w:rPr>
        <w:t>Company Policies and Benefits</w:t>
      </w:r>
      <w:r>
        <w:rPr>
          <w:rFonts w:ascii="Times New Roman" w:hAnsi="Times New Roman"/>
          <w:color w:val="000000"/>
          <w:sz w:val="20"/>
        </w:rPr>
        <w:t>. The employment relationship between the parties shall also be subject to the Company’s personnel 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left"/>
        <w:rPr/>
      </w:pPr>
      <w:r>
        <w:rPr>
          <w:rFonts w:ascii="Times New Roman" w:hAnsi="Times New Roman"/>
          <w:b/>
          <w:color w:val="000000"/>
          <w:sz w:val="20"/>
          <w:u w:val="single"/>
        </w:rPr>
        <w:t>COMPENSATION</w:t>
      </w:r>
      <w:r>
        <w:rPr>
          <w:rFonts w:ascii="Times New Roman" w:hAnsi="Times New Roman"/>
          <w:b/>
          <w:color w:val="000000"/>
          <w:sz w:val="2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0" w:after="0"/>
        <w:jc w:val="left"/>
        <w:rPr/>
      </w:pPr>
      <w:r>
        <w:rPr>
          <w:rFonts w:ascii="Times New Roman" w:hAnsi="Times New Roman"/>
          <w:b/>
          <w:color w:val="000000"/>
          <w:sz w:val="20"/>
          <w:u w:val="single"/>
        </w:rPr>
        <w:t>Salary</w:t>
      </w:r>
      <w:r>
        <w:rPr>
          <w:rFonts w:ascii="Times New Roman" w:hAnsi="Times New Roman"/>
          <w:color w:val="000000"/>
          <w:sz w:val="20"/>
        </w:rPr>
        <w:t>. Executive shall receive for Executive’s services to be rendered hereunder an initial annualized base salary of $525,000, subject to review and adjustment from time to time by the Company in its sole discretion (“</w:t>
      </w:r>
      <w:r>
        <w:rPr>
          <w:rFonts w:ascii="Times New Roman" w:hAnsi="Times New Roman"/>
          <w:b/>
          <w:i/>
          <w:color w:val="000000"/>
          <w:sz w:val="20"/>
        </w:rPr>
        <w:t>Base Salary</w:t>
      </w:r>
      <w:r>
        <w:rPr>
          <w:color w:val="000000"/>
        </w:rPr>
        <w:t>”</w:t>
      </w:r>
      <w:r>
        <w:rPr>
          <w:rFonts w:ascii="Times New Roman" w:hAnsi="Times New Roman"/>
          <w:color w:val="000000"/>
          <w:sz w:val="20"/>
        </w:rPr>
        <w:t>). The Base Salary is payable subject to standard federal and state payroll withholding requirements in accordance with the Company’s standard payroll practices.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120" w:after="283"/>
        <w:jc w:val="left"/>
        <w:rPr/>
      </w:pPr>
      <w:r>
        <w:rPr>
          <w:rFonts w:ascii="Times New Roman" w:hAnsi="Times New Roman"/>
          <w:b/>
          <w:color w:val="000000"/>
          <w:sz w:val="20"/>
          <w:u w:val="single"/>
        </w:rPr>
        <w:t>Annual Bonus</w:t>
      </w:r>
      <w:r>
        <w:rPr>
          <w:rFonts w:ascii="Times New Roman" w:hAnsi="Times New Roman"/>
          <w:color w:val="000000"/>
          <w:sz w:val="20"/>
        </w:rPr>
        <w:t>. Executive shall be eligible to receive an annual performance bonus of up to 40% (the “</w:t>
      </w:r>
      <w:r>
        <w:rPr>
          <w:rFonts w:ascii="Times New Roman" w:hAnsi="Times New Roman"/>
          <w:b/>
          <w:i/>
          <w:color w:val="000000"/>
          <w:sz w:val="20"/>
        </w:rPr>
        <w:t>Target Percentage</w:t>
      </w:r>
      <w:r>
        <w:rPr>
          <w:color w:val="000000"/>
        </w:rPr>
        <w:t>”</w:t>
      </w:r>
      <w:r>
        <w:rPr>
          <w:rFonts w:ascii="Times New Roman" w:hAnsi="Times New Roman"/>
          <w:color w:val="000000"/>
          <w:sz w:val="20"/>
        </w:rPr>
        <w:t>) of Executive’s then-current Base Salary (“</w:t>
      </w:r>
      <w:r>
        <w:rPr>
          <w:rFonts w:ascii="Times New Roman" w:hAnsi="Times New Roman"/>
          <w:b/>
          <w:i/>
          <w:color w:val="000000"/>
          <w:sz w:val="20"/>
        </w:rPr>
        <w:t>Annual Bonus</w:t>
      </w:r>
      <w:r>
        <w:rPr>
          <w:color w:val="000000"/>
        </w:rPr>
        <w:t>”</w:t>
      </w:r>
      <w:r>
        <w:rPr>
          <w:rFonts w:ascii="Times New Roman" w:hAnsi="Times New Roman"/>
          <w:color w:val="000000"/>
          <w:sz w:val="20"/>
        </w:rPr>
        <w:t>). The Annual Bonus will be based upon the Company’s assessment of Executive’s performance, the Company’s attainment of targeted goals as set by the Company’s Board of Directors (the “</w:t>
      </w:r>
      <w:r>
        <w:rPr>
          <w:rFonts w:ascii="Times New Roman" w:hAnsi="Times New Roman"/>
          <w:b/>
          <w:i/>
          <w:color w:val="000000"/>
          <w:sz w:val="20"/>
        </w:rPr>
        <w:t>Board</w:t>
      </w:r>
      <w:r>
        <w:rPr>
          <w:color w:val="000000"/>
        </w:rPr>
        <w:t>”</w:t>
      </w:r>
      <w:r>
        <w:rPr>
          <w:rFonts w:ascii="Times New Roman" w:hAnsi="Times New Roman"/>
          <w:color w:val="000000"/>
          <w:sz w:val="20"/>
        </w:rPr>
        <w:t xml:space="preserve">) in its sole discretion,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pPr>
      <w:r>
        <w:rPr>
          <w:rFonts w:ascii="Times New Roman" w:hAnsi="Times New Roman"/>
          <w:color w:val="000000"/>
          <w:sz w:val="20"/>
        </w:rPr>
        <w:t xml:space="preserve">overall economic conditions and forecasts, and related financial factors, all as determined by the Company in its sole discretion. The Annual Bonus, if any, will be subject to applicable payroll deductions and withholdings. Following the close of 2026 and each calendar year thereafter, the Company will determine whether Executive has earned the Annual Bonus, and the amount of any Annual Bonus (which can be less than the Target Percentage), based on the set criteria. No amount of the Annual Bonus is guaranteed, and Executive must be an employee in good standing on the Annual Bonus payment date to be eligible to receive an Annual Bonus. No partial or prorated bonuses will be provided; </w:t>
      </w:r>
      <w:r>
        <w:rPr>
          <w:rFonts w:ascii="Times New Roman" w:hAnsi="Times New Roman"/>
          <w:i/>
          <w:color w:val="000000"/>
          <w:sz w:val="20"/>
        </w:rPr>
        <w:t>provided, however,</w:t>
      </w:r>
      <w:r>
        <w:rPr>
          <w:color w:val="000000"/>
        </w:rPr>
        <w:t xml:space="preserve"> </w:t>
      </w:r>
      <w:r>
        <w:rPr>
          <w:rFonts w:ascii="Times New Roman" w:hAnsi="Times New Roman"/>
          <w:color w:val="000000"/>
          <w:sz w:val="20"/>
        </w:rPr>
        <w:t>that solely for the 2026 performance year Executive will be eligible for a prorated bonus based on Executive’s start date. Executive’s eligibility for an Annual Bonus is subject to change in the discretion of the Board (or any authorized committee thereof).</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120" w:after="283"/>
        <w:jc w:val="left"/>
        <w:rPr/>
      </w:pPr>
      <w:r>
        <w:rPr>
          <w:rFonts w:ascii="Times New Roman" w:hAnsi="Times New Roman"/>
          <w:b/>
          <w:color w:val="000000"/>
          <w:sz w:val="20"/>
          <w:u w:val="single"/>
        </w:rPr>
        <w:t>Initial Option Grant.</w:t>
      </w:r>
      <w:r>
        <w:rPr>
          <w:color w:val="000000"/>
        </w:rPr>
        <w:t xml:space="preserve"> </w:t>
      </w:r>
      <w:r>
        <w:rPr>
          <w:rFonts w:ascii="Times New Roman" w:hAnsi="Times New Roman"/>
          <w:color w:val="000000"/>
          <w:sz w:val="20"/>
        </w:rPr>
        <w:t>Subject to approval by the Board (or a duly authorized committee thereof), Executive shall be granted an option to purchase up to 166,435 shares of common stock of the Company as a material inducement to Executive’s entering into employment with the Company in accordance with NASDAQ Listing Rule 5635(c)(4) (the “</w:t>
      </w:r>
      <w:r>
        <w:rPr>
          <w:rFonts w:ascii="Times New Roman" w:hAnsi="Times New Roman"/>
          <w:b/>
          <w:i/>
          <w:color w:val="000000"/>
          <w:sz w:val="20"/>
        </w:rPr>
        <w:t>Initial Option</w:t>
      </w:r>
      <w:r>
        <w:rPr>
          <w:color w:val="000000"/>
        </w:rPr>
        <w:t>”</w:t>
      </w:r>
      <w:r>
        <w:rPr>
          <w:rFonts w:ascii="Times New Roman" w:hAnsi="Times New Roman"/>
          <w:color w:val="000000"/>
          <w:sz w:val="20"/>
        </w:rPr>
        <w:t>). The Initial Option shall be granted outside of the Company’s 2021 Equity Incentive Plan (the “</w:t>
      </w:r>
      <w:r>
        <w:rPr>
          <w:rFonts w:ascii="Times New Roman" w:hAnsi="Times New Roman"/>
          <w:b/>
          <w:i/>
          <w:color w:val="000000"/>
          <w:sz w:val="20"/>
        </w:rPr>
        <w:t>2021 Plan</w:t>
      </w:r>
      <w:r>
        <w:rPr>
          <w:color w:val="000000"/>
        </w:rPr>
        <w:t>”</w:t>
      </w:r>
      <w:r>
        <w:rPr>
          <w:rFonts w:ascii="Times New Roman" w:hAnsi="Times New Roman"/>
          <w:color w:val="000000"/>
          <w:sz w:val="20"/>
        </w:rPr>
        <w:t>) but shall be subject to terms and conditions substantially similar to those set forth in the 2021 Plan, except as otherwise provided in this Agreement or in the stock option agreement evidencing the Initial Option (the “Option Agreement”). The Initial Option shall be granted at a per share exercise price equal to the fair market value (determined in accordance with the 2021 Plan) of the Company’s common stock on the date of grant (the “</w:t>
      </w:r>
      <w:r>
        <w:rPr>
          <w:rFonts w:ascii="Times New Roman" w:hAnsi="Times New Roman"/>
          <w:b/>
          <w:i/>
          <w:color w:val="000000"/>
          <w:sz w:val="20"/>
        </w:rPr>
        <w:t>Initial Option Grant Date</w:t>
      </w:r>
      <w:r>
        <w:rPr>
          <w:color w:val="000000"/>
        </w:rPr>
        <w:t>”</w:t>
      </w:r>
      <w:r>
        <w:rPr>
          <w:rFonts w:ascii="Times New Roman" w:hAnsi="Times New Roman"/>
          <w:color w:val="000000"/>
          <w:sz w:val="20"/>
        </w:rPr>
        <w:t>), and shall be a nonstatutory stock option not intended to qualify as an “incentive stock option” within the meaning of Section 422 of the Internal Revenue Code of 1986, as amended (the “</w:t>
      </w:r>
      <w:r>
        <w:rPr>
          <w:rFonts w:ascii="Times New Roman" w:hAnsi="Times New Roman"/>
          <w:b/>
          <w:i/>
          <w:color w:val="000000"/>
          <w:sz w:val="20"/>
        </w:rPr>
        <w:t>Code</w:t>
      </w:r>
      <w:r>
        <w:rPr>
          <w:color w:val="000000"/>
        </w:rPr>
        <w:t>”</w:t>
      </w:r>
      <w:r>
        <w:rPr>
          <w:rFonts w:ascii="Times New Roman" w:hAnsi="Times New Roman"/>
          <w:color w:val="000000"/>
          <w:sz w:val="20"/>
        </w:rPr>
        <w:t>). Twenty-five percent (25%) of the shares subject to the Initial Option shall vest upon the first (1st) anniversary of the Initial Option Grant Date, and the remaining seventy-five percent (75%) of the shares subject to the Initial Option shall vest in equal monthly installments on the last day of each calendar month for a three (3) year period thereafter, such that all of the shares subject to the Initial Option shall be fully vested on the fourth (4th) anniversary of the Initial Option Grant Date, provided that Executive remains employed by the Company on each vesting date, except as otherwise set forth herein or in the Option Agreement.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2.4.</w:t>
      </w:r>
    </w:p>
    <w:p>
      <w:pPr>
        <w:pStyle w:val="TextBody"/>
        <w:bidi w:val="0"/>
        <w:spacing w:before="120" w:after="283"/>
        <w:jc w:val="left"/>
        <w:rPr/>
      </w:pPr>
      <w:r>
        <w:rPr>
          <w:rFonts w:ascii="Times New Roman" w:hAnsi="Times New Roman"/>
          <w:b/>
          <w:color w:val="000000"/>
          <w:sz w:val="20"/>
          <w:u w:val="single"/>
        </w:rPr>
        <w:t>Expense Reimbursement</w:t>
      </w:r>
      <w:r>
        <w:rPr>
          <w:rFonts w:ascii="Times New Roman" w:hAnsi="Times New Roman"/>
          <w:color w:val="000000"/>
          <w:sz w:val="20"/>
        </w:rPr>
        <w:t>. The Company will reimburse Executive for all reasonable, documented business expenses incurred in connection with Executive’s services hereunder, in accordance with the Company’s business expense reimbursement policies and 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 reimbursement under this Agreement will not be subject to liquidation or exchange for another benefit.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left"/>
        <w:rPr/>
      </w:pPr>
      <w:r>
        <w:rPr>
          <w:rFonts w:ascii="Times New Roman" w:hAnsi="Times New Roman"/>
          <w:b/>
          <w:color w:val="000000"/>
          <w:sz w:val="20"/>
          <w:u w:val="single"/>
        </w:rPr>
        <w:t>CONFIDENTIAL INFORMATION, INVENTION ASSIGNMENT, NON-SOLICITATION, AND NON-COMPETITION OBLIGATIONS</w:t>
      </w:r>
      <w:r>
        <w:rPr>
          <w:rFonts w:ascii="Times New Roman" w:hAnsi="Times New Roman"/>
          <w:color w:val="000000"/>
          <w:sz w:val="20"/>
        </w:rPr>
        <w:t>. As a condition of employment and in consideration of the benefits that Executive is eligible to receive under this Agreement, including, but not limited to, the compensation offered and provided to Executive hereunder, and as an express condition of the offer and provision of such additional compensation to Executive, Executive agrees to execute and abide by the Company’s Confidential Information, Invention Assignment, Non-Solicitation and Non-Competition Agreement (the “</w:t>
      </w:r>
      <w:r>
        <w:rPr>
          <w:rFonts w:ascii="Times New Roman" w:hAnsi="Times New Roman"/>
          <w:b/>
          <w:i/>
          <w:color w:val="000000"/>
          <w:sz w:val="20"/>
        </w:rPr>
        <w:t>Covenants Agreement</w:t>
      </w:r>
      <w:r>
        <w:rPr>
          <w:color w:val="000000"/>
        </w:rPr>
        <w:t>”</w:t>
      </w:r>
      <w:r>
        <w:rPr>
          <w:rFonts w:ascii="Times New Roman" w:hAnsi="Times New Roman"/>
          <w:color w:val="000000"/>
          <w:sz w:val="20"/>
        </w:rPr>
        <w:t xml:space="preserve">) attached hereto as </w:t>
      </w:r>
      <w:r>
        <w:rPr>
          <w:rFonts w:ascii="Times New Roman" w:hAnsi="Times New Roman"/>
          <w:b/>
          <w:color w:val="000000"/>
          <w:sz w:val="20"/>
          <w:u w:val="single"/>
        </w:rPr>
        <w:t>Exhibit A</w:t>
      </w:r>
      <w:r>
        <w:rPr>
          <w:rFonts w:ascii="Times New Roman" w:hAnsi="Times New Roman"/>
          <w:color w:val="000000"/>
          <w:sz w:val="20"/>
        </w:rPr>
        <w:t>. The Covenants Agreement may be amended by the parties from time to time without regard to this Agreement. The Covenants Agreement contains provisions that are intended by the parties to survive and do survive termination or expiration of this Agreement.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left"/>
        <w:rPr/>
      </w:pPr>
      <w:r>
        <w:rPr>
          <w:rFonts w:ascii="Times New Roman" w:hAnsi="Times New Roman"/>
          <w:b/>
          <w:color w:val="000000"/>
          <w:sz w:val="20"/>
          <w:u w:val="single"/>
        </w:rPr>
        <w:t>OUTSIDE ACTIVITIES</w:t>
      </w:r>
      <w:r>
        <w:rPr>
          <w:rFonts w:ascii="Times New Roman" w:hAnsi="Times New Roman"/>
          <w:color w:val="000000"/>
          <w:sz w:val="20"/>
        </w:rPr>
        <w:t xml:space="preserve">. Except with the prior written consent of the Board, Executive will not, while employed by the Company, undertake or engage in any other employment, consulting engagement, occupation or business enterprise that would, in the Company’s discretion, interfere with Executive’s responsibilities and the performance of Executive’s duties hereunder. Subject to the foregoing, Executive may engage in the following activities: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(iv) service on the board of directors of one (1) for-profit company at a time, provided that (A) Executive has received prior written approval from the Board for such service, which approval may be granted or withheld in the Board’s sole discretion, (B) such company is not a competitor of the Company and does not present a conflict of interest with Executive’s obligations to the Company, (C) such service does not interfere with Executive’s duties and responsibilities to the Company, and (D) the Board may revoke its approval at any time upon written notice to Executive if the Board determines, in its sole discretion, that such service has become inconsistent with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Company’s interests or Executive’s obligations hereunder; and (v) such other activities as may be specifically approved by the Board. This restriction shall not, however, preclude Executive from managing personal investments or owning less than one percent (1%) of the total outstanding shares of a publicly-traded company.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left"/>
        <w:rPr/>
      </w:pPr>
      <w:r>
        <w:rPr>
          <w:rFonts w:ascii="Times New Roman" w:hAnsi="Times New Roman"/>
          <w:b/>
          <w:color w:val="000000"/>
          <w:sz w:val="20"/>
          <w:u w:val="single"/>
        </w:rPr>
        <w:t>NO CONFLICT WITH EXISTING OBLIGATIONS</w:t>
      </w:r>
      <w:r>
        <w:rPr>
          <w:rFonts w:ascii="Times New Roman" w:hAnsi="Times New Roman"/>
          <w:color w:val="000000"/>
          <w:sz w:val="20"/>
        </w:rPr>
        <w:t>. Executive represents that Executive’s performance of all the terms of this 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left"/>
        <w:rPr/>
      </w:pPr>
      <w:r>
        <w:rPr>
          <w:rFonts w:ascii="Times New Roman" w:hAnsi="Times New Roman"/>
          <w:b/>
          <w:color w:val="000000"/>
          <w:sz w:val="20"/>
          <w:u w:val="single"/>
        </w:rPr>
        <w:t>TERMINATION OF EMPLOYMENT</w:t>
      </w:r>
      <w:r>
        <w:rPr>
          <w:rFonts w:ascii="Times New Roman" w:hAnsi="Times New Roman"/>
          <w:color w:val="000000"/>
          <w:sz w:val="20"/>
        </w:rPr>
        <w:t>. The parties acknowledge that Executive’s employment relationship with the Company will be at-will. Either Executive or the Company may terminate the employment relationship at any time, with or without “Cause” (as defined in Section 6.3(a) below). The provisions in this Section 6 govern the amount of compensation, if any, to be provided to Executive upon termination of employment and do not alter this at-will status. Upon any termination of employment, the Executive will be entitled to receive the Accrued Obligations (defined below). Executive will be paid all of the Accrued Obligations at such time as required by law. For purposes of this Agreement, “</w:t>
      </w:r>
      <w:r>
        <w:rPr>
          <w:rFonts w:ascii="Times New Roman" w:hAnsi="Times New Roman"/>
          <w:b/>
          <w:i/>
          <w:color w:val="000000"/>
          <w:sz w:val="20"/>
        </w:rPr>
        <w:t>Accrued Obligations</w:t>
      </w:r>
      <w:r>
        <w:rPr>
          <w:color w:val="000000"/>
        </w:rPr>
        <w:t xml:space="preserve">” </w:t>
      </w:r>
      <w:r>
        <w:rPr>
          <w:rFonts w:ascii="Times New Roman" w:hAnsi="Times New Roman"/>
          <w:color w:val="000000"/>
          <w:sz w:val="20"/>
        </w:rPr>
        <w:t>are: (i) Executive’s accrued but unpaid salary through the date of termination, and (ii) any unreimbursed business expenses incurred by Executive payable in accordance with the Company’s standard expense reimbursement policies.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6.1.</w:t>
      </w:r>
    </w:p>
    <w:p>
      <w:pPr>
        <w:pStyle w:val="TextBody"/>
        <w:bidi w:val="0"/>
        <w:spacing w:before="0" w:after="0"/>
        <w:jc w:val="left"/>
        <w:rPr/>
      </w:pPr>
      <w:r>
        <w:rPr>
          <w:rFonts w:ascii="Times New Roman" w:hAnsi="Times New Roman"/>
          <w:b/>
          <w:color w:val="000000"/>
          <w:sz w:val="20"/>
          <w:u w:val="single"/>
        </w:rPr>
        <w:t>Termination by the Company Without Cause or Resignation by Executive for Good Reason (not in Connection with a Change in Control)</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shall have the right to terminate Executive’s employment with the Company pursuant to this Section 6.1 at any time without Cause by giving notice as described in Section 6.7 of this Agreement. A termination pursuant to Section 6.5 or 6.6 below is not a termination without Cause for purposes of receiving the Non-CIC Severance Benefits described in this Section 6.1 or the CIC Severance Benefits described in Section 6.2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6.1.1.2.</w:t>
      </w:r>
    </w:p>
    <w:p>
      <w:pPr>
        <w:pStyle w:val="TextBody"/>
        <w:bidi w:val="0"/>
        <w:spacing w:before="0" w:after="240"/>
        <w:jc w:val="left"/>
        <w:rPr/>
      </w:pPr>
      <w:r>
        <w:rPr>
          <w:rFonts w:ascii="Times New Roman" w:hAnsi="Times New Roman"/>
          <w:color w:val="000000"/>
          <w:sz w:val="20"/>
        </w:rPr>
        <w:t>If the Company terminates Executive’s employment at any time without Cause or Executive resigns his employment with the Company for “Good Reason” (as defined in Section 6.1(g) below), in either case, at any time outside of the Change in Control Measurement Period (both “Change in Control” and “Change in Control Measurement Period” as defined in Section 6.2 below), then, provided such termination also constitutes a “separation from service” (as defined under Treasury Regulation Section 1.409A-1(h), without regard to any alternative definition thereunder, a “</w:t>
      </w:r>
      <w:r>
        <w:rPr>
          <w:rFonts w:ascii="Times New Roman" w:hAnsi="Times New Roman"/>
          <w:b/>
          <w:i/>
          <w:color w:val="000000"/>
          <w:sz w:val="20"/>
        </w:rPr>
        <w:t>Separation from Service</w:t>
      </w:r>
      <w:r>
        <w:rPr>
          <w:color w:val="000000"/>
        </w:rPr>
        <w:t>”</w:t>
      </w:r>
      <w:r>
        <w:rPr>
          <w:rFonts w:ascii="Times New Roman" w:hAnsi="Times New Roman"/>
          <w:color w:val="000000"/>
          <w:sz w:val="20"/>
        </w:rPr>
        <w:t>), and Executive complies with the obligations in Section 6.1(c) below, Executive shall also be eligible to receive the following “</w:t>
      </w:r>
      <w:r>
        <w:rPr>
          <w:rFonts w:ascii="Times New Roman" w:hAnsi="Times New Roman"/>
          <w:b/>
          <w:i/>
          <w:color w:val="000000"/>
          <w:sz w:val="20"/>
        </w:rPr>
        <w:t>Non-CIC Severance Benefits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6.1.1.2.1.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will pay Executive an amount equal to Executive’s then current Base Salary for nine (9) months, less all applicable withholdings and deductions, paid in equal installments beginning on the Company’s first regularly scheduled payroll date following the Release Effective Date (as defined in Section 6.1(c) below), with the remaining installments occurring on the Company’s regularly scheduled payroll dates thereafter;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6.1.1.2.2.</w:t>
      </w:r>
    </w:p>
    <w:p>
      <w:pPr>
        <w:pStyle w:val="TextBody"/>
        <w:bidi w:val="0"/>
        <w:spacing w:before="0" w:after="240"/>
        <w:jc w:val="left"/>
        <w:rPr/>
      </w:pPr>
      <w:r>
        <w:rPr>
          <w:rFonts w:ascii="Times New Roman" w:hAnsi="Times New Roman"/>
          <w:color w:val="000000"/>
          <w:sz w:val="20"/>
        </w:rPr>
        <w:t>Provided Executive or Executive’s covered dependents, as the case may be, timely elects continued coverage under COBRA, or state continuation coverage (as applicable), under the Company’s group health plans following such termination, the Company will pay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nine (9)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0"/>
        </w:rPr>
        <w:t>Non-CIC COBRA Payment Period</w:t>
      </w:r>
      <w:r>
        <w:rPr>
          <w:color w:val="000000"/>
        </w:rPr>
        <w:t>”</w:t>
      </w:r>
      <w:r>
        <w:rPr>
          <w:rFonts w:ascii="Times New Roman" w:hAnsi="Times New Roman"/>
          <w:color w:val="000000"/>
          <w:sz w:val="20"/>
        </w:rPr>
        <w:t xml:space="preserve">)).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Non-CIC COBRA Payment Period, a fully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taxable cash payment equal to the COBRA or state continuation coverage premium for such month, subject to applicable tax withholding, for the remainder of the Non-CIC COBRA Payment Period. Nothing in this Agreement shall deprive Executive of Executive’s rights under COBRA or ERISA for benefits under plans and policies arising under Executive’s employment by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6.1.1.3.</w:t>
      </w:r>
    </w:p>
    <w:p>
      <w:pPr>
        <w:pStyle w:val="TextBody"/>
        <w:bidi w:val="0"/>
        <w:spacing w:before="0" w:after="240"/>
        <w:jc w:val="left"/>
        <w:rPr/>
      </w:pPr>
      <w:r>
        <w:rPr>
          <w:rFonts w:ascii="Times New Roman" w:hAnsi="Times New Roman"/>
          <w:color w:val="000000"/>
          <w:sz w:val="20"/>
        </w:rPr>
        <w:t>Executive shall only be eligible to receive the Non-CIC Severance Benefits pursuant to Section 6.1(b) or the CIC Severance Benefits pursuant to Section 6.2(a) of this Agreement if: (i) by the sixtieth (60</w:t>
      </w:r>
      <w:r>
        <w:rPr>
          <w:rFonts w:ascii="Times New Roman" w:hAnsi="Times New Roman"/>
          <w:color w:val="000000"/>
          <w:sz w:val="13"/>
        </w:rPr>
        <w:t>th</w:t>
      </w:r>
      <w:r>
        <w:rPr>
          <w:rFonts w:ascii="Times New Roman" w:hAnsi="Times New Roman"/>
          <w:color w:val="000000"/>
          <w:sz w:val="20"/>
        </w:rPr>
        <w:t>) day following the date of Executive’s Separation from Service, Executive has signed and delivered to the Company a separation agreement containing an effective, general release of claims in favor of the Company and its affiliates and representatives, in the form presented by the Company (the “</w:t>
      </w:r>
      <w:r>
        <w:rPr>
          <w:rFonts w:ascii="Times New Roman" w:hAnsi="Times New Roman"/>
          <w:b/>
          <w:i/>
          <w:color w:val="000000"/>
          <w:sz w:val="20"/>
        </w:rPr>
        <w:t>Release</w:t>
      </w:r>
      <w:r>
        <w:rPr>
          <w:color w:val="000000"/>
        </w:rPr>
        <w:t>”</w:t>
      </w:r>
      <w:r>
        <w:rPr>
          <w:rFonts w:ascii="Times New Roman" w:hAnsi="Times New Roman"/>
          <w:color w:val="000000"/>
          <w:sz w:val="20"/>
        </w:rPr>
        <w:t>), which cannot be revoked in whole or part by such date (the date that the Release can no longer be revoked is referred to as the “</w:t>
      </w:r>
      <w:r>
        <w:rPr>
          <w:rFonts w:ascii="Times New Roman" w:hAnsi="Times New Roman"/>
          <w:b/>
          <w:i/>
          <w:color w:val="000000"/>
          <w:sz w:val="20"/>
        </w:rPr>
        <w:t>Release Effective Date</w:t>
      </w:r>
      <w:r>
        <w:rPr>
          <w:color w:val="000000"/>
        </w:rPr>
        <w:t>”</w:t>
      </w:r>
      <w:r>
        <w:rPr>
          <w:rFonts w:ascii="Times New Roman" w:hAnsi="Times New Roman"/>
          <w:color w:val="000000"/>
          <w:sz w:val="20"/>
        </w:rPr>
        <w:t>); and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 (iv) Executive complies with all post-termination obligations under this Agreement and the Covenants Agreement; and (v) Executive complies with the terms of the Release, including without limitation any non-disparagement and confidentiality provisions contained in the Release.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CIC Severance Benefits and Non-CIC Severance Benefits.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6.1.1.5.</w:t>
      </w:r>
    </w:p>
    <w:p>
      <w:pPr>
        <w:pStyle w:val="TextBody"/>
        <w:bidi w:val="0"/>
        <w:spacing w:before="0" w:after="240"/>
        <w:jc w:val="left"/>
        <w:rPr/>
      </w:pPr>
      <w:r>
        <w:rPr>
          <w:rFonts w:ascii="Times New Roman" w:hAnsi="Times New Roman"/>
          <w:color w:val="000000"/>
          <w:sz w:val="20"/>
        </w:rPr>
        <w:t>For purposes of this Agreement, “</w:t>
      </w:r>
      <w:r>
        <w:rPr>
          <w:rFonts w:ascii="Times New Roman" w:hAnsi="Times New Roman"/>
          <w:b/>
          <w:i/>
          <w:color w:val="000000"/>
          <w:sz w:val="20"/>
        </w:rPr>
        <w:t>Good Reason</w:t>
      </w:r>
      <w:r>
        <w:rPr>
          <w:color w:val="000000"/>
        </w:rPr>
        <w:t xml:space="preserve">” </w:t>
      </w:r>
      <w:r>
        <w:rPr>
          <w:rFonts w:ascii="Times New Roman" w:hAnsi="Times New Roman"/>
          <w:color w:val="000000"/>
          <w:sz w:val="20"/>
        </w:rPr>
        <w:t xml:space="preserve">shall mean the occurrence of any of the following events without Executive’s consent: (i) a material reduction in Executive’s Base Salary of at least 10%, other than pursuant to a reduction proportionately affecting all of the Company’s other senior level executive employees; (ii) a material reduction in Executive’s duties, authority and/or responsibilities relative to Executive’s duties, authority, and/or responsibilities in effect immediately prior to such reduction; (iii) the Executive no longer reports to the CEO or the Board; (iv) the relocation of Executive’s principal place of employment, without Executive’s consent, in a manner that lengthens Executive’s one-way commute distance by fifty (50) or more miles from Executive’s then-current principal place of employment immediately prior to such relocation; or (v) any material breach of this Agreement by the Company; </w:t>
      </w:r>
      <w:r>
        <w:rPr>
          <w:rFonts w:ascii="Times New Roman" w:hAnsi="Times New Roman"/>
          <w:i/>
          <w:color w:val="000000"/>
          <w:sz w:val="20"/>
        </w:rPr>
        <w:t xml:space="preserve">provided, however, </w:t>
      </w:r>
      <w:r>
        <w:rPr>
          <w:rFonts w:ascii="Times New Roman" w:hAnsi="Times New Roman"/>
          <w:color w:val="000000"/>
          <w:sz w:val="20"/>
        </w:rPr>
        <w:t xml:space="preserve">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color w:val="000000"/>
        </w:rPr>
        <w:t>“</w:t>
      </w:r>
      <w:r>
        <w:rPr>
          <w:rFonts w:ascii="Times New Roman" w:hAnsi="Times New Roman"/>
          <w:b/>
          <w:i/>
          <w:color w:val="000000"/>
          <w:sz w:val="20"/>
        </w:rPr>
        <w:t>Company Cure Period</w:t>
      </w:r>
      <w:r>
        <w:rPr>
          <w:color w:val="000000"/>
        </w:rPr>
        <w:t>”</w:t>
      </w:r>
      <w:r>
        <w:rPr>
          <w:rFonts w:ascii="Times New Roman" w:hAnsi="Times New Roman"/>
          <w:color w:val="000000"/>
          <w:sz w:val="20"/>
        </w:rPr>
        <w:t>); (3) the Company has not, prior to receiving such notice from Executive, already informed Executive that Executive’s employment with the Company is being terminated; and (4) Executive voluntarily terminates Executive’s employment within thirty (30) days following the end of the Company Cure Period.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6.2.</w:t>
      </w:r>
    </w:p>
    <w:p>
      <w:pPr>
        <w:pStyle w:val="TextBody"/>
        <w:bidi w:val="0"/>
        <w:spacing w:before="0" w:after="0"/>
        <w:jc w:val="left"/>
        <w:rPr/>
      </w:pPr>
      <w:r>
        <w:rPr>
          <w:rFonts w:ascii="Times New Roman" w:hAnsi="Times New Roman"/>
          <w:b/>
          <w:color w:val="000000"/>
          <w:sz w:val="20"/>
          <w:u w:val="single"/>
        </w:rPr>
        <w:t>Termination by the Company without Cause or Resignation by Executive for Good Reason (in connection with a Change in Control)</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6.2.1.1.</w:t>
      </w:r>
    </w:p>
    <w:p>
      <w:pPr>
        <w:pStyle w:val="TextBody"/>
        <w:bidi w:val="0"/>
        <w:spacing w:before="0" w:after="240"/>
        <w:jc w:val="left"/>
        <w:rPr/>
      </w:pPr>
      <w:r>
        <w:rPr>
          <w:rFonts w:ascii="Times New Roman" w:hAnsi="Times New Roman"/>
          <w:color w:val="000000"/>
          <w:sz w:val="20"/>
        </w:rPr>
        <w:t>In the event that Executive’s employment is terminated without Cause or Executive resigns his employment for Good Reason within twelve (12) months following the effective date of a Change in Control (“</w:t>
      </w:r>
      <w:r>
        <w:rPr>
          <w:rFonts w:ascii="Times New Roman" w:hAnsi="Times New Roman"/>
          <w:b/>
          <w:i/>
          <w:color w:val="000000"/>
          <w:sz w:val="20"/>
        </w:rPr>
        <w:t>Change in Control Measurement Period</w:t>
      </w:r>
      <w:r>
        <w:rPr>
          <w:color w:val="000000"/>
        </w:rPr>
        <w:t>”</w:t>
      </w:r>
      <w:r>
        <w:rPr>
          <w:rFonts w:ascii="Times New Roman" w:hAnsi="Times New Roman"/>
          <w:color w:val="000000"/>
          <w:sz w:val="20"/>
        </w:rPr>
        <w:t xml:space="preserve">) of the Company, then, provided such termination also constitutes a </w:t>
      </w:r>
      <w:r>
        <w:rPr>
          <w:rFonts w:ascii="Times New Roman" w:hAnsi="Times New Roman"/>
          <w:b/>
          <w:i/>
          <w:color w:val="000000"/>
          <w:sz w:val="20"/>
        </w:rPr>
        <w:t>Separation from Service</w:t>
      </w:r>
      <w:r>
        <w:rPr>
          <w:rFonts w:ascii="Times New Roman" w:hAnsi="Times New Roman"/>
          <w:color w:val="000000"/>
          <w:sz w:val="20"/>
        </w:rPr>
        <w:t>, and Executive complies with the obligations in Section 6.1(c) above, including but not limited to the Release requirement and Executive’s continued compliance with obligations to the Company under Executive’s Covenants Agreement, then Executive will be eligible for the following “</w:t>
      </w:r>
      <w:r>
        <w:rPr>
          <w:rFonts w:ascii="Times New Roman" w:hAnsi="Times New Roman"/>
          <w:b/>
          <w:i/>
          <w:color w:val="000000"/>
          <w:sz w:val="20"/>
        </w:rPr>
        <w:t>CIC Severance Benefits</w:t>
      </w:r>
      <w:r>
        <w:rPr>
          <w:color w:val="000000"/>
        </w:rPr>
        <w: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6.2.1.1.1.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or its successor will pay Executive an amount equal to Executive’s then current Base Salary for twelve (12) months, less all applicable withholdings and deductions, paid in equal installments beginning on the Company’s first regularly scheduled payroll date following the Release Effective Date, with the remaining installments occurring on the Company’s or its succesor’s regularly scheduled payroll dates thereafter;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6.2.1.1.2.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Provided Executive or Executive’s covered dependents, as the case may be, timely elects continued coverage under COBRA, or state continuation coverage (as applicable), under the Company’s or its successor’s group health plans following such termination, the Company or its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pPr>
      <w:r>
        <w:rPr>
          <w:rFonts w:ascii="Times New Roman" w:hAnsi="Times New Roman"/>
          <w:color w:val="000000"/>
          <w:sz w:val="20"/>
        </w:rPr>
        <w:t>successor will pay the portion of the COBRA, or state continuation coverage, premiums which is equal to the cost of the coverage that the Company or its successor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0"/>
        </w:rPr>
        <w:t>CIC COBRA Payment Period</w:t>
      </w:r>
      <w:r>
        <w:rPr>
          <w:color w:val="000000"/>
        </w:rPr>
        <w:t>”</w:t>
      </w:r>
      <w:r>
        <w:rPr>
          <w:rFonts w:ascii="Times New Roman" w:hAnsi="Times New Roman"/>
          <w:color w:val="000000"/>
          <w:sz w:val="20"/>
        </w:rPr>
        <w:t>)). Notwithstanding the foregoing, if at any time the Company or its successor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or ERISA for benefits under plans and policies arising under Executive’s employment by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6.2.1.1.3.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or its successor will make a lump sum cash payment to Executive in an amount equal to one (1) times the Target Percentage for the year in which the termination occurs, subject to standard deductions and withholdings, which will be paid in a lump sum on the same day as the first installment of the severance payment contemplated by Section 6.2(a)(i);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6.2.1.1.4.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Effective as of Executive’s termination date, the vesting and exercisability of all outstanding equity awards held by Executive immediately prior to the termination date (if any) shall be accelerated in full. For the avoidance of doubt, vesting acceleration under this subsection is conditioned upon the actual consummation of a Change in Control.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6.2.1.2.</w:t>
      </w:r>
    </w:p>
    <w:p>
      <w:pPr>
        <w:pStyle w:val="TextBody"/>
        <w:bidi w:val="0"/>
        <w:spacing w:before="0" w:after="240"/>
        <w:jc w:val="left"/>
        <w:rPr/>
      </w:pPr>
      <w:r>
        <w:rPr>
          <w:rFonts w:ascii="Times New Roman" w:hAnsi="Times New Roman"/>
          <w:color w:val="000000"/>
          <w:sz w:val="20"/>
        </w:rPr>
        <w:t>For purposes of this Agreement, a “</w:t>
      </w:r>
      <w:r>
        <w:rPr>
          <w:rFonts w:ascii="Times New Roman" w:hAnsi="Times New Roman"/>
          <w:b/>
          <w:i/>
          <w:color w:val="000000"/>
          <w:sz w:val="20"/>
        </w:rPr>
        <w:t>Change in Control</w:t>
      </w:r>
      <w:r>
        <w:rPr>
          <w:color w:val="000000"/>
        </w:rPr>
        <w:t xml:space="preserve">” </w:t>
      </w:r>
      <w:r>
        <w:rPr>
          <w:rFonts w:ascii="Times New Roman" w:hAnsi="Times New Roman"/>
          <w:color w:val="000000"/>
          <w:sz w:val="20"/>
        </w:rPr>
        <w:t>shall have the meaning set forth in the 2021 Plan, as amended from time to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6.2.1.3.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CIC Severance Benefits provided to Executive pursuant to this Section 6.2 are in lieu of, and not in addition to, any benefits to which Executive may otherwise be entitled under any Company or successor severance plan, policy or program.</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6.3.</w:t>
      </w:r>
    </w:p>
    <w:p>
      <w:pPr>
        <w:pStyle w:val="TextBody"/>
        <w:bidi w:val="0"/>
        <w:jc w:val="left"/>
        <w:rPr/>
      </w:pPr>
      <w:r>
        <w:rPr>
          <w:rFonts w:ascii="Times New Roman" w:hAnsi="Times New Roman"/>
          <w:b/>
          <w:color w:val="000000"/>
          <w:sz w:val="20"/>
          <w:u w:val="single"/>
        </w:rPr>
        <w:t>Termination by the Company for Cause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Section 6.3(b) below, the Company shall have the right to terminate Executive’s employment with the Company at any time for Cause by giving notice as described in Section 6.7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6.3.1.1.</w:t>
      </w:r>
    </w:p>
    <w:p>
      <w:pPr>
        <w:pStyle w:val="TextBody"/>
        <w:bidi w:val="0"/>
        <w:spacing w:before="0" w:after="240"/>
        <w:jc w:val="left"/>
        <w:rPr/>
      </w:pPr>
      <w:r>
        <w:rPr>
          <w:color w:val="000000"/>
        </w:rPr>
        <w:t>“</w:t>
      </w:r>
      <w:r>
        <w:rPr>
          <w:rFonts w:ascii="Times New Roman" w:hAnsi="Times New Roman"/>
          <w:b/>
          <w:i/>
          <w:color w:val="000000"/>
          <w:sz w:val="20"/>
        </w:rPr>
        <w:t>Cause</w:t>
      </w:r>
      <w:r>
        <w:rPr>
          <w:color w:val="000000"/>
        </w:rPr>
        <w:t xml:space="preserve">” </w:t>
      </w:r>
      <w:r>
        <w:rPr>
          <w:rFonts w:ascii="Times New Roman" w:hAnsi="Times New Roman"/>
          <w:color w:val="000000"/>
          <w:sz w:val="20"/>
        </w:rPr>
        <w:t xml:space="preserve">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any material violation of any Company policy or any act of misconduct; (v) the refusal to follow or implement a clear and reasonable directive of the Company; (vi) negligence or incompetence in the performance of Executive’s duties; or (vii) breach of fiduciary duty; </w:t>
      </w:r>
      <w:r>
        <w:rPr>
          <w:rFonts w:ascii="Times New Roman" w:hAnsi="Times New Roman"/>
          <w:i/>
          <w:color w:val="000000"/>
          <w:sz w:val="20"/>
        </w:rPr>
        <w:t xml:space="preserve">provided, however, </w:t>
      </w:r>
      <w:r>
        <w:rPr>
          <w:rFonts w:ascii="Times New Roman" w:hAnsi="Times New Roman"/>
          <w:color w:val="000000"/>
          <w:sz w:val="20"/>
        </w:rPr>
        <w:t xml:space="preserve">that, any such termination by Company shall only be deemed for Cause pursuant to this definition if: (1) Company gives the Executive written notice of Company’s intent to terminate for Cause within thirty (30) days following the Company first having knowledge of the condition(s) that Company believes constitute(s) Cause, which notice shall describe such condition(s); (2) With respect to the conduct described in subsections (i), (iv), (v), and (vi) only, Executive fails to remedy such curable condition(s) within thirty (30) days following receipt of the written notice (the </w:t>
      </w:r>
      <w:r>
        <w:rPr>
          <w:color w:val="000000"/>
        </w:rPr>
        <w:t>“</w:t>
      </w:r>
      <w:r>
        <w:rPr>
          <w:rFonts w:ascii="Times New Roman" w:hAnsi="Times New Roman"/>
          <w:b/>
          <w:i/>
          <w:color w:val="000000"/>
          <w:sz w:val="20"/>
        </w:rPr>
        <w:t>Executive Cure Period</w:t>
      </w:r>
      <w:r>
        <w:rPr>
          <w:color w:val="000000"/>
        </w:rPr>
        <w:t>”</w:t>
      </w:r>
      <w:r>
        <w:rPr>
          <w:rFonts w:ascii="Times New Roman" w:hAnsi="Times New Roman"/>
          <w:color w:val="000000"/>
          <w:sz w:val="20"/>
        </w:rPr>
        <w:t>); and (3) Company terminates Executive’s employment within thirty (30) days following the end of the Executive Cure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6.3.1.2.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6.4.</w:t>
      </w:r>
    </w:p>
    <w:p>
      <w:pPr>
        <w:pStyle w:val="TextBody"/>
        <w:bidi w:val="0"/>
        <w:spacing w:before="120" w:after="283"/>
        <w:jc w:val="left"/>
        <w:rPr/>
      </w:pPr>
      <w:r>
        <w:rPr>
          <w:rFonts w:ascii="Times New Roman" w:hAnsi="Times New Roman"/>
          <w:b/>
          <w:color w:val="000000"/>
          <w:sz w:val="20"/>
          <w:u w:val="single"/>
        </w:rPr>
        <w:t>Resignation by Executive (other than for Good Reason)</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6.4.1.1.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Executive may resign for any reason from Executive’s employment with the Company at any time by giving notice as described in Section 6.7.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6.4.1.2.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6.5.</w:t>
      </w:r>
    </w:p>
    <w:p>
      <w:pPr>
        <w:pStyle w:val="TextBody"/>
        <w:bidi w:val="0"/>
        <w:spacing w:before="0" w:after="0"/>
        <w:jc w:val="left"/>
        <w:rPr/>
      </w:pPr>
      <w:r>
        <w:rPr>
          <w:rFonts w:ascii="Times New Roman" w:hAnsi="Times New Roman"/>
          <w:b/>
          <w:color w:val="000000"/>
          <w:sz w:val="20"/>
          <w:u w:val="single"/>
        </w:rPr>
        <w:t>Termination by Virtue of Death or Disability of Executive</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6.5.1.1.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be eligible for the Non-CIC Severance Benefits, the CIC Severance Benefits, or any other severance compensation or benefit.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6.5.1.2.</w:t>
      </w:r>
    </w:p>
    <w:p>
      <w:pPr>
        <w:pStyle w:val="TextBody"/>
        <w:bidi w:val="0"/>
        <w:spacing w:before="0" w:after="240"/>
        <w:jc w:val="left"/>
        <w:rPr/>
      </w:pPr>
      <w:r>
        <w:rPr>
          <w:rFonts w:ascii="Times New Roman" w:hAnsi="Times New Roman"/>
          <w:color w:val="000000"/>
          <w:sz w:val="20"/>
        </w:rPr>
        <w:t>Subject to applicable state and federal law, the Company shall at all times have the right, upon written notice to the Executive, to terminate this Agreement based on Executive’s Disability (as defined below). Termination by the Company of Executive’s employment based on “</w:t>
      </w:r>
      <w:r>
        <w:rPr>
          <w:rFonts w:ascii="Times New Roman" w:hAnsi="Times New Roman"/>
          <w:b/>
          <w:i/>
          <w:color w:val="000000"/>
          <w:sz w:val="20"/>
        </w:rPr>
        <w:t>Disability</w:t>
      </w:r>
      <w:r>
        <w:rPr>
          <w:color w:val="000000"/>
        </w:rPr>
        <w:t xml:space="preserve">” </w:t>
      </w:r>
      <w:r>
        <w:rPr>
          <w:rFonts w:ascii="Times New Roman" w:hAnsi="Times New Roman"/>
          <w:color w:val="000000"/>
          <w:sz w:val="20"/>
        </w:rPr>
        <w:t>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Non-CIC Severance Benefits, the CIC Severance Benefits, or any other severance compensation or benefit, except that, pursuant to the Company’s standard payroll policies, the Company shall provide to Executive the Accrued Obligations and any disability insurance and/or other group benefits to which Executive may be entitled as a result of his Disability.</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6.6.</w:t>
      </w:r>
    </w:p>
    <w:p>
      <w:pPr>
        <w:pStyle w:val="TextBody"/>
        <w:bidi w:val="0"/>
        <w:spacing w:before="0" w:after="0"/>
        <w:jc w:val="left"/>
        <w:rPr/>
      </w:pPr>
      <w:r>
        <w:rPr>
          <w:rFonts w:ascii="Times New Roman" w:hAnsi="Times New Roman"/>
          <w:b/>
          <w:color w:val="000000"/>
          <w:sz w:val="20"/>
          <w:u w:val="single"/>
        </w:rPr>
        <w:t>Termination Due to Discontinuance of Business</w:t>
      </w:r>
      <w:r>
        <w:rPr>
          <w:rFonts w:ascii="Times New Roman" w:hAnsi="Times New Roman"/>
          <w:color w:val="000000"/>
          <w:sz w:val="20"/>
        </w:rPr>
        <w:t>. Anything in this Agreement to the contrary notwithstanding, in the event the Company’s business is discontinued because rendered impracticable by substantial financial losses, lack of funding, legal decisions, administrative rulings, declaration of war, dissolution, national or local economic depression or crisis or any reasons beyond the control of the Company, then this Agreement shall terminate as of the day the Company determines to cease operation with the same force and effect as if such day of the month were originally set as the termination date hereof. In the event this Agreement is terminated pursuant to this Section 6.6, Executive will not receive the Non-CIC Severance Benefits, the CIC Severance Benefits, or any other severance compensation or benefit, except that, pursuant to the Company’s standard payroll policies, the Company shall provide to Executive the Accrued Obligations.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6.7.</w:t>
      </w:r>
    </w:p>
    <w:p>
      <w:pPr>
        <w:pStyle w:val="TextBody"/>
        <w:bidi w:val="0"/>
        <w:spacing w:before="120" w:after="283"/>
        <w:jc w:val="left"/>
        <w:rPr/>
      </w:pPr>
      <w:r>
        <w:rPr>
          <w:rFonts w:ascii="Times New Roman" w:hAnsi="Times New Roman"/>
          <w:b/>
          <w:color w:val="000000"/>
          <w:sz w:val="20"/>
          <w:u w:val="single"/>
        </w:rPr>
        <w:t>Notice; Effective Date of Termination</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6.7.1.1.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Termination of Executive’s employment pursuant to this Agreement shall be effective on the earliest 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6.7.1.1.1.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immediately after the Company gives notice to Executive of Executive’s termination, with or without Cause, unless pursuant to Section 6.3(a)(vi) in which case ten (10) days after notice if not cured, or unless the Company specifies a later date, in which case, termination shall be effective as of such later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6.7.1.1.2.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immediately upon Executive’s death;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6.7.1.1.3.</w:t>
      </w:r>
    </w:p>
    <w:p>
      <w:pPr>
        <w:pStyle w:val="TextBody"/>
        <w:bidi w:val="0"/>
        <w:spacing w:before="0" w:after="240"/>
        <w:jc w:val="left"/>
        <w:rPr/>
      </w:pPr>
      <w:r>
        <w:rPr>
          <w:rFonts w:ascii="Times New Roman" w:hAnsi="Times New Roman"/>
          <w:color w:val="000000"/>
          <w:sz w:val="20"/>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Times New Roman" w:hAnsi="Times New Roman"/>
          <w:i/>
          <w:color w:val="000000"/>
          <w:sz w:val="20"/>
        </w:rPr>
        <w:t xml:space="preserve">provided </w:t>
      </w:r>
      <w:r>
        <w:rPr>
          <w:rFonts w:ascii="Times New Roman" w:hAnsi="Times New Roman"/>
          <w:color w:val="000000"/>
          <w:sz w:val="20"/>
        </w:rPr>
        <w:t>that Executive has not returned to the full-time performance of Executive’s duties prior to such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6.7.1.1.4.</w:t>
      </w:r>
    </w:p>
    <w:p>
      <w:pPr>
        <w:pStyle w:val="TextBody"/>
        <w:bidi w:val="0"/>
        <w:spacing w:before="0" w:after="240"/>
        <w:jc w:val="left"/>
        <w:rPr/>
      </w:pPr>
      <w:r>
        <w:rPr>
          <w:rFonts w:ascii="Times New Roman" w:hAnsi="Times New Roman"/>
          <w:color w:val="000000"/>
          <w:sz w:val="20"/>
        </w:rPr>
        <w:t xml:space="preserve">except as addressed by Section 6.7(a)(v), forty-five (45) days (or such shorter period agreed to by the President and Executive in writing) after Executive gives written notice to the Company of Executive’s resignation for any reason, </w:t>
      </w:r>
      <w:r>
        <w:rPr>
          <w:rFonts w:ascii="Times New Roman" w:hAnsi="Times New Roman"/>
          <w:i/>
          <w:color w:val="000000"/>
          <w:sz w:val="20"/>
        </w:rPr>
        <w:t xml:space="preserve">provided </w:t>
      </w:r>
      <w:r>
        <w:rPr>
          <w:rFonts w:ascii="Times New Roman" w:hAnsi="Times New Roman"/>
          <w:color w:val="000000"/>
          <w:sz w:val="20"/>
        </w:rPr>
        <w:t xml:space="preserve">that the Company may set a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Separation Date at any time between the date of notice and the date of resignation, in which case Executive’s resignation shall be effective as of such other date. Executive will receive compensation through any required notice period;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6.7.1.1.5.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a resignation for Good Reason, immediately upon Executive’s full satisfaction of the requirements of Section 6.1(e).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6.7.1.2.</w:t>
      </w:r>
    </w:p>
    <w:p>
      <w:pPr>
        <w:pStyle w:val="TextBody"/>
        <w:bidi w:val="0"/>
        <w:spacing w:before="0" w:after="240"/>
        <w:jc w:val="left"/>
        <w:rPr/>
      </w:pPr>
      <w:r>
        <w:rPr>
          <w:rFonts w:ascii="Times New Roman" w:hAnsi="Times New Roman"/>
          <w:color w:val="000000"/>
          <w:sz w:val="20"/>
        </w:rPr>
        <w:t>The actual date the Executive’s employment is terminated or resigned shall be the “</w:t>
      </w:r>
      <w:r>
        <w:rPr>
          <w:rFonts w:ascii="Times New Roman" w:hAnsi="Times New Roman"/>
          <w:b/>
          <w:i/>
          <w:color w:val="000000"/>
          <w:sz w:val="20"/>
        </w:rPr>
        <w:t>Separation Date.</w:t>
      </w:r>
      <w:r>
        <w:rPr>
          <w:color w:val="000000"/>
        </w:rPr>
        <w:t xml:space="preserve">” </w:t>
      </w:r>
      <w:r>
        <w:rPr>
          <w:rFonts w:ascii="Times New Roman" w:hAnsi="Times New Roman"/>
          <w:color w:val="000000"/>
          <w:sz w:val="20"/>
        </w:rPr>
        <w:t>In the event notice of a termination under subsection Section 6.7 (a)(i) is given orally, at the other party’s request, the party giving notice must provide written confirmation of such notice within five (5) business days of the request in compliance with the requirement of Section 7.1 below. In the event of a termination for Cause or a resignation for Good Reason, written confirmation shall specify the subsection(s) of the definition of Cause or the definition of Good Reason relied on to support the decision to terminate.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6.8.</w:t>
      </w:r>
    </w:p>
    <w:p>
      <w:pPr>
        <w:pStyle w:val="TextBody"/>
        <w:bidi w:val="0"/>
        <w:spacing w:before="0" w:after="0"/>
        <w:jc w:val="left"/>
        <w:rPr/>
      </w:pPr>
      <w:r>
        <w:rPr>
          <w:rFonts w:ascii="Times New Roman" w:hAnsi="Times New Roman"/>
          <w:b/>
          <w:color w:val="000000"/>
          <w:sz w:val="20"/>
          <w:u w:val="single"/>
        </w:rPr>
        <w:t>Cooperation With Company After Termination of Employment</w:t>
      </w:r>
      <w:r>
        <w:rPr>
          <w:rFonts w:ascii="Times New Roman" w:hAnsi="Times New Roman"/>
          <w:color w:val="000000"/>
          <w:sz w:val="20"/>
        </w:rPr>
        <w:t>. 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6.9.</w:t>
      </w:r>
    </w:p>
    <w:p>
      <w:pPr>
        <w:pStyle w:val="TextBody"/>
        <w:bidi w:val="0"/>
        <w:spacing w:before="120" w:after="283"/>
        <w:jc w:val="left"/>
        <w:rPr/>
      </w:pPr>
      <w:r>
        <w:rPr>
          <w:rFonts w:ascii="Times New Roman" w:hAnsi="Times New Roman"/>
          <w:b/>
          <w:color w:val="000000"/>
          <w:sz w:val="20"/>
          <w:u w:val="single"/>
        </w:rPr>
        <w:t>Effect of Termination</w:t>
      </w:r>
      <w:r>
        <w:rPr>
          <w:rFonts w:ascii="Times New Roman" w:hAnsi="Times New Roman"/>
          <w:color w:val="000000"/>
          <w:sz w:val="20"/>
        </w:rPr>
        <w:t>. Executive agrees that should Executive’s employment be terminated for any reason, Executive shall be deemed to have resigned from any and all positions with the Company and its subsidiaries.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6.10.</w:t>
      </w:r>
    </w:p>
    <w:p>
      <w:pPr>
        <w:pStyle w:val="TextBody"/>
        <w:bidi w:val="0"/>
        <w:spacing w:before="120" w:after="283"/>
        <w:jc w:val="left"/>
        <w:rPr/>
      </w:pPr>
      <w:r>
        <w:rPr>
          <w:rFonts w:ascii="Times New Roman" w:hAnsi="Times New Roman"/>
          <w:b/>
          <w:color w:val="000000"/>
          <w:sz w:val="20"/>
          <w:u w:val="single"/>
        </w:rPr>
        <w:t>Application of Section 409A</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6.10.1.1.</w:t>
      </w:r>
    </w:p>
    <w:p>
      <w:pPr>
        <w:pStyle w:val="TextBody"/>
        <w:bidi w:val="0"/>
        <w:spacing w:before="0" w:after="240"/>
        <w:jc w:val="left"/>
        <w:rPr/>
      </w:pPr>
      <w:r>
        <w:rPr>
          <w:rFonts w:ascii="Times New Roman" w:hAnsi="Times New Roman"/>
          <w:color w:val="000000"/>
          <w:sz w:val="20"/>
        </w:rPr>
        <w:t>It is intended that all of the compensation payable under this Agreement, to the greatest extent possible, either complies with the requirements of Section 409A of the Internal Revenue Code of 1986, as amended (the “</w:t>
      </w:r>
      <w:r>
        <w:rPr>
          <w:rFonts w:ascii="Times New Roman" w:hAnsi="Times New Roman"/>
          <w:b/>
          <w:i/>
          <w:color w:val="000000"/>
          <w:sz w:val="20"/>
        </w:rPr>
        <w:t>Code</w:t>
      </w:r>
      <w:r>
        <w:rPr>
          <w:color w:val="000000"/>
        </w:rPr>
        <w:t>”</w:t>
      </w:r>
      <w:r>
        <w:rPr>
          <w:rFonts w:ascii="Times New Roman" w:hAnsi="Times New Roman"/>
          <w:color w:val="000000"/>
          <w:sz w:val="20"/>
        </w:rPr>
        <w:t>) and the regulations and other guidance thereunder and any state law of similar effect (collectively, “</w:t>
      </w:r>
      <w:r>
        <w:rPr>
          <w:rFonts w:ascii="Times New Roman" w:hAnsi="Times New Roman"/>
          <w:b/>
          <w:i/>
          <w:color w:val="000000"/>
          <w:sz w:val="20"/>
        </w:rPr>
        <w:t>Section 409A</w:t>
      </w:r>
      <w:r>
        <w:rPr>
          <w:color w:val="000000"/>
        </w:rPr>
        <w:t>”</w:t>
      </w:r>
      <w:r>
        <w:rPr>
          <w:rFonts w:ascii="Times New Roman" w:hAnsi="Times New Roman"/>
          <w:color w:val="000000"/>
          <w:sz w:val="20"/>
        </w:rPr>
        <w:t>) or satisfies one or more of the exemptions from the application of Section 409A, and this Agreement will be construed in a manner consistent with such intention, incorporating by reference all required definitions and payment terms.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6.10.1.2.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severance payments will be made under this Agreement unless Executive’s termination of employment constitutes a Separation from Service.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6.10.1.3.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the extent that any severance payments are deferred compensation under Section 409A, and are not otherwise exempt from the application of Section 409A, then, to the extent required to comply with Section 409A, if the period during which Executive may consider and sign the Release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6.10(c); and (ii) commence paying the balance of the severance benefits in accordance with the applicable payment schedule set forth in Sections 6.1 and 6.2. No interest shall be due on any amounts deferred pursuant to this Section 6.10(c).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6.10.1.4.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6.10.1.5.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 compliance with Section 409A.</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6.11.</w:t>
      </w:r>
    </w:p>
    <w:p>
      <w:pPr>
        <w:pStyle w:val="TextBody"/>
        <w:bidi w:val="0"/>
        <w:spacing w:before="0" w:after="0"/>
        <w:jc w:val="left"/>
        <w:rPr/>
      </w:pPr>
      <w:r>
        <w:rPr>
          <w:rFonts w:ascii="Times New Roman" w:hAnsi="Times New Roman"/>
          <w:b/>
          <w:color w:val="000000"/>
          <w:sz w:val="20"/>
          <w:u w:val="single"/>
        </w:rPr>
        <w:t>Excise Tax Adjustment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6.11.1.1.</w:t>
      </w:r>
    </w:p>
    <w:p>
      <w:pPr>
        <w:pStyle w:val="TextBody"/>
        <w:bidi w:val="0"/>
        <w:spacing w:before="0" w:after="240"/>
        <w:jc w:val="left"/>
        <w:rPr/>
      </w:pPr>
      <w:r>
        <w:rPr>
          <w:rFonts w:ascii="Times New Roman" w:hAnsi="Times New Roman"/>
          <w:color w:val="000000"/>
          <w:sz w:val="20"/>
        </w:rPr>
        <w:t>If any payment or benefit Executive will or may receive from the Company or otherwise (a “</w:t>
      </w:r>
      <w:r>
        <w:rPr>
          <w:rFonts w:ascii="Times New Roman" w:hAnsi="Times New Roman"/>
          <w:b/>
          <w:i/>
          <w:color w:val="000000"/>
          <w:sz w:val="20"/>
        </w:rPr>
        <w:t>280G Payment</w:t>
      </w:r>
      <w:r>
        <w:rPr>
          <w:color w:val="000000"/>
        </w:rPr>
        <w:t>”</w:t>
      </w:r>
      <w:r>
        <w:rPr>
          <w:rFonts w:ascii="Times New Roman" w:hAnsi="Times New Roman"/>
          <w:color w:val="000000"/>
          <w:sz w:val="20"/>
        </w:rPr>
        <w:t>) would (i) constitute a “parachute payment” within the meaning of Section 280G of the Code, and (ii) but for this Section, be subject to the excise tax imposed by Section 4999 of the Code (the “</w:t>
      </w:r>
      <w:r>
        <w:rPr>
          <w:rFonts w:ascii="Times New Roman" w:hAnsi="Times New Roman"/>
          <w:b/>
          <w:i/>
          <w:color w:val="000000"/>
          <w:sz w:val="20"/>
        </w:rPr>
        <w:t>Excise Tax</w:t>
      </w:r>
      <w:r>
        <w:rPr>
          <w:color w:val="000000"/>
        </w:rPr>
        <w:t>”</w:t>
      </w:r>
      <w:r>
        <w:rPr>
          <w:rFonts w:ascii="Times New Roman" w:hAnsi="Times New Roman"/>
          <w:color w:val="000000"/>
          <w:sz w:val="20"/>
        </w:rPr>
        <w:t>), then any such 280G Payment provided pursuant to this Agreement (a “</w:t>
      </w:r>
      <w:r>
        <w:rPr>
          <w:rFonts w:ascii="Times New Roman" w:hAnsi="Times New Roman"/>
          <w:b/>
          <w:i/>
          <w:color w:val="000000"/>
          <w:sz w:val="20"/>
        </w:rPr>
        <w:t>Payment</w:t>
      </w:r>
      <w:r>
        <w:rPr>
          <w:color w:val="000000"/>
        </w:rPr>
        <w:t>”</w:t>
      </w:r>
      <w:r>
        <w:rPr>
          <w:rFonts w:ascii="Times New Roman" w:hAnsi="Times New Roman"/>
          <w:color w:val="000000"/>
          <w:sz w:val="20"/>
        </w:rPr>
        <w:t>) shall be equal to the Reduced Amount. The “</w:t>
      </w:r>
      <w:r>
        <w:rPr>
          <w:rFonts w:ascii="Times New Roman" w:hAnsi="Times New Roman"/>
          <w:b/>
          <w:i/>
          <w:color w:val="000000"/>
          <w:sz w:val="20"/>
        </w:rPr>
        <w:t>Reduced Amount</w:t>
      </w:r>
      <w:r>
        <w:rPr>
          <w:color w:val="000000"/>
        </w:rPr>
        <w:t xml:space="preserve">” </w:t>
      </w:r>
      <w:r>
        <w:rPr>
          <w:rFonts w:ascii="Times New Roman" w:hAnsi="Times New Roman"/>
          <w:color w:val="000000"/>
          <w:sz w:val="20"/>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color w:val="000000"/>
          <w:sz w:val="20"/>
        </w:rPr>
        <w:t>Reduction Method</w:t>
      </w:r>
      <w:r>
        <w:rPr>
          <w:color w:val="000000"/>
        </w:rPr>
        <w:t>”</w:t>
      </w:r>
      <w:r>
        <w:rPr>
          <w:rFonts w:ascii="Times New Roman" w:hAnsi="Times New Roman"/>
          <w:color w:val="000000"/>
          <w:sz w:val="20"/>
        </w:rPr>
        <w:t>) that results in the greatest economic benefit for Executive. If more than one method of reduction will result in the same economic benefit, the items so reduced will be reduced pro rata (the “</w:t>
      </w:r>
      <w:r>
        <w:rPr>
          <w:rFonts w:ascii="Times New Roman" w:hAnsi="Times New Roman"/>
          <w:b/>
          <w:i/>
          <w:color w:val="000000"/>
          <w:sz w:val="20"/>
        </w:rPr>
        <w:t>Pro Rata Reduction Method</w:t>
      </w:r>
      <w:r>
        <w:rPr>
          <w:color w:val="000000"/>
        </w:rPr>
        <w: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6.11.1.2.</w:t>
      </w:r>
    </w:p>
    <w:p>
      <w:pPr>
        <w:pStyle w:val="TextBody"/>
        <w:bidi w:val="0"/>
        <w:spacing w:before="0" w:after="240"/>
        <w:jc w:val="left"/>
        <w:rPr/>
      </w:pPr>
      <w:r>
        <w:rPr>
          <w:rFonts w:ascii="Times New Roman" w:hAnsi="Times New Roman"/>
          <w:color w:val="000000"/>
          <w:sz w:val="20"/>
        </w:rPr>
        <w:t>Notwithstanding any provision of this Section 6.11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hAnsi="Times New Roman"/>
          <w:i/>
          <w:color w:val="000000"/>
          <w:sz w:val="20"/>
        </w:rPr>
        <w:t>e.g.</w:t>
      </w:r>
      <w:r>
        <w:rPr>
          <w:rFonts w:ascii="Times New Roman" w:hAnsi="Times New Roman"/>
          <w:color w:val="000000"/>
          <w:sz w:val="20"/>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6.11.1.3.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Executive receives a Payment for which the Reduced Amount was determined pursuant to clause (x) of Section 6.11(a) and the Internal Revenue Service determines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Section 6.11(a), Executive shall have no obligation to return any portion of the Payment pursuant to the preceding sentence.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left"/>
        <w:rPr/>
      </w:pPr>
      <w:r>
        <w:rPr>
          <w:rFonts w:ascii="Times New Roman" w:hAnsi="Times New Roman"/>
          <w:b/>
          <w:color w:val="000000"/>
          <w:sz w:val="20"/>
          <w:u w:val="single"/>
        </w:rPr>
        <w:t>GENERAL PROVISIONS</w:t>
      </w:r>
      <w:r>
        <w:rPr>
          <w:rFonts w:ascii="Times New Roman" w:hAnsi="Times New Roman"/>
          <w:color w:val="000000"/>
          <w:sz w:val="2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7.1.</w:t>
      </w:r>
    </w:p>
    <w:p>
      <w:pPr>
        <w:pStyle w:val="TextBody"/>
        <w:bidi w:val="0"/>
        <w:spacing w:before="0" w:after="0"/>
        <w:jc w:val="left"/>
        <w:rPr/>
      </w:pPr>
      <w:r>
        <w:rPr>
          <w:rFonts w:ascii="Times New Roman" w:hAnsi="Times New Roman"/>
          <w:b/>
          <w:color w:val="000000"/>
          <w:sz w:val="20"/>
          <w:u w:val="single"/>
        </w:rPr>
        <w:t>Notices</w:t>
      </w:r>
      <w:r>
        <w:rPr>
          <w:rFonts w:ascii="Times New Roman" w:hAnsi="Times New Roman"/>
          <w:color w:val="000000"/>
          <w:sz w:val="20"/>
        </w:rPr>
        <w:t xml:space="preserve">. Any notices required hereunder to be in writing shall be deemed effectively given: (a) upon personal delivery to the party to be notified, (b) when sent by electronic mail if sent during normal business hours of the recipient, and if not, then on the next business day, (c) five (5) days after having been sent by registered or certified mail, return receipt requested, postage prepaid, or (d) one (1) day after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deposit with a nationally-recognized overnight courier, specifying next-day delivery, with written verification of receipt. All communications shall be sent to the Company at its primary office location and to Executive at Executive’s address as listed on the Company payroll or Executive’s Company-provided email address, or at such other address as the Company or Executive may designate by ten (10) days’ advance written notice to the other.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7.2.</w:t>
      </w:r>
    </w:p>
    <w:p>
      <w:pPr>
        <w:pStyle w:val="TextBody"/>
        <w:bidi w:val="0"/>
        <w:spacing w:before="120" w:after="283"/>
        <w:jc w:val="left"/>
        <w:rPr/>
      </w:pPr>
      <w:r>
        <w:rPr>
          <w:rFonts w:ascii="Times New Roman" w:hAnsi="Times New Roman"/>
          <w:b/>
          <w:color w:val="000000"/>
          <w:sz w:val="20"/>
          <w:u w:val="single"/>
        </w:rPr>
        <w:t>Severability</w:t>
      </w:r>
      <w:r>
        <w:rPr>
          <w:rFonts w:ascii="Times New Roman" w:hAnsi="Times New Roman"/>
          <w:color w:val="000000"/>
          <w:sz w:val="20"/>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7.3.</w:t>
      </w:r>
    </w:p>
    <w:p>
      <w:pPr>
        <w:pStyle w:val="TextBody"/>
        <w:bidi w:val="0"/>
        <w:spacing w:before="120" w:after="283"/>
        <w:jc w:val="left"/>
        <w:rPr/>
      </w:pPr>
      <w:r>
        <w:rPr>
          <w:rFonts w:ascii="Times New Roman" w:hAnsi="Times New Roman"/>
          <w:b/>
          <w:color w:val="000000"/>
          <w:sz w:val="20"/>
          <w:u w:val="single"/>
        </w:rPr>
        <w:t>Waiver</w:t>
      </w:r>
      <w:r>
        <w:rPr>
          <w:rFonts w:ascii="Times New Roman" w:hAnsi="Times New Roman"/>
          <w:color w:val="000000"/>
          <w:sz w:val="20"/>
        </w:rPr>
        <w:t>. If either party should waive any breach of any provisions of this Agreement, such party shall not thereby be deemed to have waived any preceding or succeeding breach of the same or any other provision of this Agreement.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7.4.</w:t>
      </w:r>
    </w:p>
    <w:p>
      <w:pPr>
        <w:pStyle w:val="TextBody"/>
        <w:bidi w:val="0"/>
        <w:spacing w:before="120" w:after="283"/>
        <w:jc w:val="left"/>
        <w:rPr/>
      </w:pPr>
      <w:r>
        <w:rPr>
          <w:rFonts w:ascii="Times New Roman" w:hAnsi="Times New Roman"/>
          <w:b/>
          <w:color w:val="000000"/>
          <w:sz w:val="20"/>
          <w:u w:val="single"/>
        </w:rPr>
        <w:t>Complete Agreement</w:t>
      </w:r>
      <w:r>
        <w:rPr>
          <w:rFonts w:ascii="Times New Roman" w:hAnsi="Times New Roman"/>
          <w:color w:val="000000"/>
          <w:sz w:val="20"/>
        </w:rPr>
        <w:t>. This Agreement, and the Covenants Agreements, constitute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Covenants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7.5.</w:t>
      </w:r>
    </w:p>
    <w:p>
      <w:pPr>
        <w:pStyle w:val="TextBody"/>
        <w:bidi w:val="0"/>
        <w:spacing w:before="120" w:after="283"/>
        <w:jc w:val="left"/>
        <w:rPr/>
      </w:pPr>
      <w:r>
        <w:rPr>
          <w:rFonts w:ascii="Times New Roman" w:hAnsi="Times New Roman"/>
          <w:b/>
          <w:color w:val="000000"/>
          <w:sz w:val="20"/>
          <w:u w:val="single"/>
        </w:rPr>
        <w:t>Counterparts</w:t>
      </w:r>
      <w:r>
        <w:rPr>
          <w:rFonts w:ascii="Times New Roman" w:hAnsi="Times New Roman"/>
          <w:color w:val="000000"/>
          <w:sz w:val="20"/>
        </w:rPr>
        <w:t>. This Agreement may be executed in separate counterparts, any one of which need not contain signatures of more than one party, but all of which taken together will constitute one and the same agreement.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7.6.</w:t>
      </w:r>
    </w:p>
    <w:p>
      <w:pPr>
        <w:pStyle w:val="TextBody"/>
        <w:bidi w:val="0"/>
        <w:spacing w:before="120" w:after="283"/>
        <w:jc w:val="left"/>
        <w:rPr/>
      </w:pPr>
      <w:r>
        <w:rPr>
          <w:rFonts w:ascii="Times New Roman" w:hAnsi="Times New Roman"/>
          <w:b/>
          <w:color w:val="000000"/>
          <w:sz w:val="20"/>
          <w:u w:val="single"/>
        </w:rPr>
        <w:t>Headings</w:t>
      </w:r>
      <w:r>
        <w:rPr>
          <w:rFonts w:ascii="Times New Roman" w:hAnsi="Times New Roman"/>
          <w:color w:val="000000"/>
          <w:sz w:val="20"/>
        </w:rPr>
        <w:t>. The headings of the sections hereof are inserted for convenience only and shall not be deemed to constitute a part hereof nor to affect the meaning thereof.</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7.7.</w:t>
      </w:r>
    </w:p>
    <w:p>
      <w:pPr>
        <w:pStyle w:val="TextBody"/>
        <w:bidi w:val="0"/>
        <w:spacing w:before="120" w:after="283"/>
        <w:jc w:val="left"/>
        <w:rPr/>
      </w:pPr>
      <w:r>
        <w:rPr>
          <w:rFonts w:ascii="Times New Roman" w:hAnsi="Times New Roman"/>
          <w:b/>
          <w:color w:val="000000"/>
          <w:sz w:val="20"/>
          <w:u w:val="single"/>
        </w:rPr>
        <w:t>Successors and Assigns</w:t>
      </w:r>
      <w:r>
        <w:rPr>
          <w:rFonts w:ascii="Times New Roman" w:hAnsi="Times New Roman"/>
          <w:color w:val="000000"/>
          <w:sz w:val="20"/>
        </w:rPr>
        <w:t>.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7.8.</w:t>
      </w:r>
    </w:p>
    <w:p>
      <w:pPr>
        <w:pStyle w:val="TextBody"/>
        <w:bidi w:val="0"/>
        <w:spacing w:before="120" w:after="283"/>
        <w:jc w:val="left"/>
        <w:rPr/>
      </w:pPr>
      <w:r>
        <w:rPr>
          <w:rFonts w:ascii="Times New Roman" w:hAnsi="Times New Roman"/>
          <w:b/>
          <w:color w:val="000000"/>
          <w:sz w:val="20"/>
          <w:u w:val="single"/>
        </w:rPr>
        <w:t>Choice of Law</w:t>
      </w:r>
      <w:r>
        <w:rPr>
          <w:rFonts w:ascii="Times New Roman" w:hAnsi="Times New Roman"/>
          <w:color w:val="000000"/>
          <w:sz w:val="20"/>
        </w:rPr>
        <w:t>. All questions concerning the construction, validity and interpretation of this Agreement will be governed by the State of California.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7.9.</w:t>
      </w:r>
    </w:p>
    <w:p>
      <w:pPr>
        <w:pStyle w:val="TextBody"/>
        <w:bidi w:val="0"/>
        <w:spacing w:before="120" w:after="283"/>
        <w:jc w:val="left"/>
        <w:rPr/>
      </w:pPr>
      <w:r>
        <w:rPr>
          <w:rFonts w:ascii="Times New Roman" w:hAnsi="Times New Roman"/>
          <w:b/>
          <w:color w:val="000000"/>
          <w:sz w:val="20"/>
          <w:u w:val="single"/>
        </w:rPr>
        <w:t>Resolution of Disputes</w:t>
      </w:r>
      <w:r>
        <w:rPr>
          <w:rFonts w:ascii="Times New Roman" w:hAnsi="Times New Roman"/>
          <w:color w:val="000000"/>
          <w:sz w:val="20"/>
        </w:rPr>
        <w:t>. To aid the rapid and economical resolution of disputes that may arise in connection with Executive’s employment with the Company, and in exchange for the mutual promises contained in this Agreement, Executive and the Company agree that any and all disputes, claims, or causes of action, in law or equity, including but not limited to statutory claims, arising from or relating to the enforcement, breach, performance, or interpretation of this Agreement, Executive’s employment with the Company, or the termination of Executive’s employment, shall be resolved to the fullest extent permitted by law, by final, binding and confidential arbitration conducted by JAMS, Inc. (“</w:t>
      </w:r>
      <w:r>
        <w:rPr>
          <w:rFonts w:ascii="Times New Roman" w:hAnsi="Times New Roman"/>
          <w:b/>
          <w:i/>
          <w:color w:val="000000"/>
          <w:sz w:val="20"/>
        </w:rPr>
        <w:t>JAMS</w:t>
      </w:r>
      <w:r>
        <w:rPr>
          <w:color w:val="000000"/>
        </w:rPr>
        <w:t>”</w:t>
      </w:r>
      <w:r>
        <w:rPr>
          <w:rFonts w:ascii="Times New Roman" w:hAnsi="Times New Roman"/>
          <w:color w:val="000000"/>
          <w:sz w:val="20"/>
        </w:rPr>
        <w:t xml:space="preserve">) or its successor, under JAMS’ then applicable rules and procedures appropriate to the relief being sought (available upon request and also currently available at the following web address: (i) https://www.jamsadr.com/rules-employment-arbitration/ and (ii) https://www.jamsadr.com/rules-comprehensive-arbitration/) at a location closest to where Executive last worked for the Company or another mutually agreeable location. Any demand for arbitration must be made within the statute of limitations applicable to the claim asserted as if such claim were asserted in court. Failure to demand arbitration (or, where applicable, file a counterclaim, crossclaim, or third-party claim) within such time limitation shall serve as a waiver and release with respect to all such claims. </w:t>
      </w:r>
      <w:r>
        <w:rPr>
          <w:rFonts w:ascii="Times New Roman" w:hAnsi="Times New Roman"/>
          <w:b/>
          <w:color w:val="000000"/>
          <w:sz w:val="20"/>
        </w:rPr>
        <w:t>Executive acknowledges</w:t>
      </w:r>
      <w:r>
        <w:rPr>
          <w:color w:val="000000"/>
        </w:rPr>
        <w:t xml:space="preserve"> </w:t>
      </w:r>
      <w:r>
        <w:rPr>
          <w:rFonts w:ascii="Times New Roman" w:hAnsi="Times New Roman"/>
          <w:b/>
          <w:color w:val="000000"/>
          <w:sz w:val="20"/>
        </w:rPr>
        <w:t xml:space="preserve">that by agreeing to this arbitration procedure, both Executive andthe Company waive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pPr>
      <w:r>
        <w:rPr>
          <w:rFonts w:ascii="Times New Roman" w:hAnsi="Times New Roman"/>
          <w:b/>
          <w:color w:val="000000"/>
          <w:sz w:val="20"/>
        </w:rPr>
        <w:t>right to resolve any such dispute through a trial by jury or judge.</w:t>
      </w:r>
      <w:r>
        <w:rPr>
          <w:color w:val="000000"/>
        </w:rPr>
        <w:t xml:space="preserve"> </w:t>
      </w:r>
      <w:r>
        <w:rPr>
          <w:rFonts w:ascii="Times New Roman" w:hAnsi="Times New Roman"/>
          <w:color w:val="000000"/>
          <w:sz w:val="20"/>
        </w:rPr>
        <w:t>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 w:hAnsi="Times New Roman"/>
          <w:b/>
          <w:i/>
          <w:color w:val="000000"/>
          <w:sz w:val="20"/>
        </w:rPr>
        <w:t>Excluded Claims</w:t>
      </w:r>
      <w:r>
        <w:rPr>
          <w:color w:val="000000"/>
        </w:rPr>
        <w:t>”</w:t>
      </w:r>
      <w:r>
        <w:rPr>
          <w:rFonts w:ascii="Times New Roman" w:hAnsi="Times New Roman"/>
          <w:color w:val="000000"/>
          <w:sz w:val="20"/>
        </w:rPr>
        <w:t>),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Executive or the Company intends to bring multiple claims, including one of the Excluded Claims listed above, the Excluded Claims may be filed with a court, while any other claims will remain subject to mandatory arbitration. Executive acknowledges and agrees that proceedings of any non-individual claim(s) under the California Private Attorneys General Act (“PAGA”) that may be brought in court shall be stayed for the duration and pending a final resolution of the arbitration of any individual or individual PAGA claim. Nothing herein prevents Executive from filing and pursuing proceedings before a federal or state governmental agency, although if Executive chooses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Executive or the Company, must be brought in an individual capacity, and shall not be brought as a plaintiff (or claimant) or class member in any purported class, representative, or collective proceeding, nor joined or consolidated with the claims of any other person or entity. Executive acknowledges that by agreeing to this arbitration procedure, both Executive and the Company waive all rights to have any dispute be brought, heard, administered, resolved, or arbitrated on a class, representative, or collective action basis. The arbitrator may not consolidate the claims of 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unenforceable, as to a particular claim or request for relief, the parties agree that any such claim(s) or request(s) for relief be severed from the arbitration and may proceed in a court of law rather than by arbitration. All other claims or requests for relief shall be arbitrated. Executive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Executive or the Company would otherwise be entitled to seek in a court of law;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JAMS arbitration administrative fees in excess of the administrative fees that Executive would be required to pay if the dispute were filed in a court of law. Each party is responsible for its own attorneys’ fees, except that the arbitrator may award reasonable attorneys’ fees and costs to the prevailing party in the arbitration when authorized by any written agreement between Executive and Company or as otherwise authorized under applicable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240"/>
        <w:jc w:val="both"/>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 TO FOLLOW ON NEXT PAGE]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have executed this Employment Agreement on the day and year first written above.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SENSEI BIOTHERAPEUTICS, INC.</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Christopher W. Gerry </w:t>
      </w:r>
    </w:p>
    <w:p>
      <w:pPr>
        <w:pStyle w:val="TextBody"/>
        <w:bidi w:val="0"/>
        <w:jc w:val="left"/>
        <w:rPr>
          <w:rFonts w:ascii="Times New Roman" w:hAnsi="Times New Roman"/>
          <w:color w:val="000000"/>
          <w:sz w:val="20"/>
        </w:rPr>
      </w:pPr>
      <w:r>
        <w:rPr>
          <w:rFonts w:ascii="Times New Roman" w:hAnsi="Times New Roman"/>
          <w:color w:val="000000"/>
          <w:sz w:val="20"/>
        </w:rPr>
        <w:t>Name: Christopher W. Gerry</w:t>
      </w:r>
    </w:p>
    <w:p>
      <w:pPr>
        <w:pStyle w:val="TextBody"/>
        <w:bidi w:val="0"/>
        <w:spacing w:before="0" w:after="720"/>
        <w:jc w:val="both"/>
        <w:rPr>
          <w:rFonts w:ascii="Times New Roman" w:hAnsi="Times New Roman"/>
          <w:color w:val="000000"/>
          <w:sz w:val="20"/>
        </w:rPr>
      </w:pPr>
      <w:r>
        <w:rPr>
          <w:rFonts w:ascii="Times New Roman" w:hAnsi="Times New Roman"/>
          <w:color w:val="000000"/>
          <w:sz w:val="20"/>
        </w:rPr>
        <w:t>Title: President and General Counsel</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Executive:</w:t>
      </w:r>
    </w:p>
    <w:p>
      <w:pPr>
        <w:pStyle w:val="TextBody"/>
        <w:bidi w:val="0"/>
        <w:spacing w:before="0" w:after="24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Brian Stephenson, PhD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Name: Brian Stephenson, PhD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snse-ex31_1.htm"/>
      <w:bookmarkStart w:id="24" w:name="kssnseex31_1"/>
      <w:bookmarkEnd w:id="23"/>
      <w:bookmarkEnd w:id="24"/>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Anand Parikh,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2026 of Faeth Therapeutics,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1846"/>
        <w:gridCol w:w="109"/>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Anand Parikh</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Anand Parikh</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snse-ex31_2.htm"/>
      <w:bookmarkStart w:id="26" w:name="kssnse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Stephenson,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2026 of Faeth Therapeutics,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814" w:type="dxa"/>
        <w:jc w:val="left"/>
        <w:tblInd w:w="0" w:type="dxa"/>
        <w:tblLayout w:type="fixed"/>
        <w:tblCellMar>
          <w:top w:w="28" w:type="dxa"/>
          <w:left w:w="28" w:type="dxa"/>
          <w:bottom w:w="28" w:type="dxa"/>
          <w:right w:w="28" w:type="dxa"/>
        </w:tblCellMar>
      </w:tblPr>
      <w:tblGrid>
        <w:gridCol w:w="1846"/>
        <w:gridCol w:w="146"/>
        <w:gridCol w:w="40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Brian Stephenson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Stephenson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snse-ex32_1.htm"/>
      <w:bookmarkStart w:id="28" w:name="kssnseex32_1"/>
      <w:bookmarkEnd w:id="27"/>
      <w:bookmarkEnd w:id="28"/>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CERTIFICATIONS OF</w:t>
      </w:r>
    </w:p>
    <w:p>
      <w:pPr>
        <w:pStyle w:val="TextBody"/>
        <w:bidi w:val="0"/>
        <w:jc w:val="center"/>
        <w:rPr>
          <w:rFonts w:ascii="Times New Roman" w:hAnsi="Times New Roman"/>
          <w:b/>
          <w:color w:val="000000"/>
          <w:sz w:val="20"/>
        </w:rPr>
      </w:pPr>
      <w:r>
        <w:rPr>
          <w:rFonts w:ascii="Times New Roman" w:hAnsi="Times New Roman"/>
          <w:b/>
          <w:color w:val="000000"/>
          <w:sz w:val="20"/>
        </w:rPr>
        <w:t>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Anand Parikh, President and Chief Executive Officer of Faeth Therapeutics, Inc. (the “Company”), and Brian Stephenson,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June 30, 2026, to which this Certification is attached as Exhibit 32.1 (the “Quarterly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Quarterly Report fairly presents, in all material respects, the financial condition and results of operations of the Company.</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undersigned has set his hand hereto as of the 4th day of August 2026.</w:t>
      </w:r>
    </w:p>
    <w:p>
      <w:pPr>
        <w:pStyle w:val="TextBody"/>
        <w:bidi w:val="0"/>
        <w:jc w:val="left"/>
        <w:rPr/>
      </w:pPr>
      <w:r>
        <w:rPr/>
        <w:t> </w:t>
      </w:r>
    </w:p>
    <w:tbl>
      <w:tblPr>
        <w:tblW w:w="5706" w:type="dxa"/>
        <w:jc w:val="left"/>
        <w:tblInd w:w="0" w:type="dxa"/>
        <w:tblLayout w:type="fixed"/>
        <w:tblCellMar>
          <w:top w:w="28" w:type="dxa"/>
          <w:left w:w="28" w:type="dxa"/>
          <w:bottom w:w="28" w:type="dxa"/>
          <w:right w:w="28" w:type="dxa"/>
        </w:tblCellMar>
      </w:tblPr>
      <w:tblGrid>
        <w:gridCol w:w="3181"/>
        <w:gridCol w:w="109"/>
        <w:gridCol w:w="2416"/>
      </w:tblGrid>
      <w:tr>
        <w:trPr/>
        <w:tc>
          <w:tcPr>
            <w:tcW w:w="3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Anand Parikh</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Stephenson</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Anand Parikh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Stephenson</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br/>
              <w:t>(Principal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02/000119312521037280/d95909dex31.htm" TargetMode="External"/><Relationship Id="rId3" Type="http://schemas.openxmlformats.org/officeDocument/2006/relationships/hyperlink" Target="https://www.sec.gov/Archives/edgar/data/1829802/000119312525140329/d945713dex31.htm" TargetMode="External"/><Relationship Id="rId4" Type="http://schemas.openxmlformats.org/officeDocument/2006/relationships/hyperlink" Target="https://www.sec.gov/Archives/edgar/data/1829802/000119312522301836/d514100dex31.htm" TargetMode="External"/><Relationship Id="rId5" Type="http://schemas.openxmlformats.org/officeDocument/2006/relationships/hyperlink" Target="https://www.sec.gov/Archives/edgar/data/1829802/000119312523063093/d470819dex31.htm" TargetMode="External"/><Relationship Id="rId6" Type="http://schemas.openxmlformats.org/officeDocument/2006/relationships/hyperlink" Target="https://www.sec.gov/Archives/edgar/data/1829802/000095017025046338/snse-ex3_4.htm" TargetMode="External"/><Relationship Id="rId7" Type="http://schemas.openxmlformats.org/officeDocument/2006/relationships/hyperlink" Target="https://www.sec.gov/Archives/edgar/data/1829802/000119312526056135/d112826dex31.htm" TargetMode="External"/><Relationship Id="rId8" Type="http://schemas.openxmlformats.org/officeDocument/2006/relationships/hyperlink" Target="https://www.sec.gov/Archives/edgar/data/1829802/000119312526225333/snse-ex10_1.htm" TargetMode="External"/><Relationship Id="rId9" Type="http://schemas.openxmlformats.org/officeDocument/2006/relationships/hyperlink" Target="https://www.sec.gov/Archives/edgar/data/1829802/000119312526225333/snse-ex10_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68940</Words>
  <Characters>386740</Characters>
  <CharactersWithSpaces>456285</CharactersWithSpaces>
  <Paragraphs>5760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