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68855d8k.htm"/>
      <w:bookmarkStart w:id="1" w:name="ksd6885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July 21,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Faeth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001-39980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83-1863385</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701 Tillery Street #12 #1010</w:t>
            </w:r>
          </w:p>
          <w:p>
            <w:pPr>
              <w:pStyle w:val="TableContents"/>
              <w:bidi w:val="0"/>
              <w:spacing w:before="0" w:after="20"/>
              <w:jc w:val="center"/>
              <w:rPr>
                <w:rFonts w:ascii="Times New Roman" w:hAnsi="Times New Roman"/>
                <w:b/>
                <w:sz w:val="20"/>
              </w:rPr>
            </w:pPr>
            <w:r>
              <w:rPr>
                <w:rFonts w:ascii="Times New Roman" w:hAnsi="Times New Roman"/>
                <w:b/>
                <w:sz w:val="20"/>
              </w:rPr>
              <w:t>Austin, TX</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78702</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(512) 200-2982</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Securities Exchange Act of 1934:</w:t>
      </w:r>
    </w:p>
    <w:p>
      <w:pPr>
        <w:pStyle w:val="TextBody"/>
        <w:bidi w:val="0"/>
        <w:spacing w:before="0" w:after="0"/>
        <w:jc w:val="left"/>
        <w:rPr/>
      </w:pPr>
      <w:r>
        <w:rPr/>
        <w:t> </w:t>
      </w:r>
    </w:p>
    <w:tbl>
      <w:tblPr>
        <w:tblW w:w="5295" w:type="dxa"/>
        <w:jc w:val="left"/>
        <w:tblInd w:w="0" w:type="dxa"/>
        <w:tblLayout w:type="fixed"/>
        <w:tblCellMar>
          <w:top w:w="0" w:type="dxa"/>
          <w:left w:w="0" w:type="dxa"/>
          <w:bottom w:w="0" w:type="dxa"/>
          <w:right w:w="0" w:type="dxa"/>
        </w:tblCellMar>
      </w:tblPr>
      <w:tblGrid>
        <w:gridCol w:w="1520"/>
        <w:gridCol w:w="60"/>
        <w:gridCol w:w="605"/>
        <w:gridCol w:w="60"/>
        <w:gridCol w:w="3050"/>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520"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FTH</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sz w:val="20"/>
        </w:rPr>
      </w:pPr>
      <w:r>
        <w:rPr>
          <w:rFonts w:ascii="Times New Roman" w:hAnsi="Times New Roman"/>
          <w:sz w:val="20"/>
        </w:rPr>
        <w:t xml:space="preserve">On July 21, 2026, the Board of Directors (the “Board”) of Faeth Therapeutics, Inc. (the “Company”), upon the recommendation of the Compensation Committee of the Board (the “Compensation Committee”), approved one-time supplemental grants of performance-based stock options (“Performance Options”) under the Company’s 2026 Equity Incentive Plan (the “2026 Plan”) to current employees of the Company who were employed with the Company as of February 19, 2026, including the following: </w:t>
      </w:r>
    </w:p>
    <w:p>
      <w:pPr>
        <w:pStyle w:val="TextBody"/>
        <w:bidi w:val="0"/>
        <w:spacing w:before="0" w:after="0"/>
        <w:jc w:val="left"/>
        <w:rPr/>
      </w:pPr>
      <w:r>
        <w:rPr/>
        <w:t> </w:t>
      </w:r>
    </w:p>
    <w:tbl>
      <w:tblPr>
        <w:tblW w:w="7890" w:type="dxa"/>
        <w:jc w:val="left"/>
        <w:tblInd w:w="0" w:type="dxa"/>
        <w:tblLayout w:type="fixed"/>
        <w:tblCellMar>
          <w:top w:w="0" w:type="dxa"/>
          <w:left w:w="0" w:type="dxa"/>
          <w:bottom w:w="0" w:type="dxa"/>
          <w:right w:w="0" w:type="dxa"/>
        </w:tblCellMar>
      </w:tblPr>
      <w:tblGrid>
        <w:gridCol w:w="1880"/>
        <w:gridCol w:w="120"/>
        <w:gridCol w:w="2960"/>
        <w:gridCol w:w="120"/>
        <w:gridCol w:w="190"/>
        <w:gridCol w:w="2545"/>
        <w:gridCol w:w="75"/>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29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0" w:type="dxa"/>
            <w:tcBorders/>
            <w:vAlign w:val="center"/>
          </w:tcPr>
          <w:p>
            <w:pPr>
              <w:pStyle w:val="TableContents"/>
              <w:bidi w:val="0"/>
              <w:spacing w:before="0" w:after="283"/>
              <w:jc w:val="left"/>
              <w:rPr/>
            </w:pPr>
            <w:r>
              <w:rPr/>
              <w:t>  </w:t>
            </w:r>
          </w:p>
        </w:tc>
        <w:tc>
          <w:tcPr>
            <w:tcW w:w="27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to Purchase Shares</w:t>
              <w:br/>
              <w:t>(#)</w:t>
            </w:r>
          </w:p>
        </w:tc>
        <w:tc>
          <w:tcPr>
            <w:tcW w:w="75" w:type="dxa"/>
            <w:tcBorders/>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283"/>
              <w:jc w:val="left"/>
              <w:rPr/>
            </w:pPr>
            <w:r>
              <w:rPr/>
              <w:t>Anand Parikh</w:t>
            </w:r>
          </w:p>
        </w:tc>
        <w:tc>
          <w:tcPr>
            <w:tcW w:w="120" w:type="dxa"/>
            <w:tcBorders/>
            <w:shd w:fill="CCEEFF" w:val="clear"/>
            <w:vAlign w:val="center"/>
          </w:tcPr>
          <w:p>
            <w:pPr>
              <w:pStyle w:val="TableContents"/>
              <w:bidi w:val="0"/>
              <w:spacing w:before="0" w:after="283"/>
              <w:jc w:val="left"/>
              <w:rPr/>
            </w:pPr>
            <w:r>
              <w:rPr/>
              <w:t>  </w:t>
            </w:r>
          </w:p>
        </w:tc>
        <w:tc>
          <w:tcPr>
            <w:tcW w:w="2960" w:type="dxa"/>
            <w:tcBorders/>
            <w:shd w:fill="CCEEFF" w:val="clear"/>
            <w:vAlign w:val="center"/>
          </w:tcPr>
          <w:p>
            <w:pPr>
              <w:pStyle w:val="TableContents"/>
              <w:bidi w:val="0"/>
              <w:spacing w:before="0" w:after="283"/>
              <w:jc w:val="left"/>
              <w:rPr/>
            </w:pPr>
            <w:r>
              <w:rPr/>
              <w:t>Chief Executive Officer</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2545" w:type="dxa"/>
            <w:tcBorders/>
            <w:shd w:fill="CCEEFF" w:val="clear"/>
            <w:vAlign w:val="center"/>
          </w:tcPr>
          <w:p>
            <w:pPr>
              <w:pStyle w:val="TableContents"/>
              <w:bidi w:val="0"/>
              <w:spacing w:before="0" w:after="283"/>
              <w:jc w:val="right"/>
              <w:rPr/>
            </w:pPr>
            <w:r>
              <w:rPr/>
              <w:t>398,018</w:t>
            </w:r>
          </w:p>
        </w:tc>
        <w:tc>
          <w:tcPr>
            <w:tcW w:w="75" w:type="dxa"/>
            <w:tcBorders/>
            <w:shd w:fill="CCEEFF" w:val="clear"/>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Christopher Gerry*</w:t>
            </w:r>
          </w:p>
        </w:tc>
        <w:tc>
          <w:tcPr>
            <w:tcW w:w="12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pPr>
            <w:r>
              <w:rPr/>
              <w:t>General Counsel and Secretary</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2545" w:type="dxa"/>
            <w:tcBorders/>
            <w:vAlign w:val="center"/>
          </w:tcPr>
          <w:p>
            <w:pPr>
              <w:pStyle w:val="TableContents"/>
              <w:bidi w:val="0"/>
              <w:spacing w:before="0" w:after="283"/>
              <w:jc w:val="right"/>
              <w:rPr/>
            </w:pPr>
            <w:r>
              <w:rPr/>
              <w:t>84,766</w:t>
            </w:r>
          </w:p>
        </w:tc>
        <w:tc>
          <w:tcPr>
            <w:tcW w:w="75" w:type="dxa"/>
            <w:tcBorders/>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283"/>
              <w:jc w:val="left"/>
              <w:rPr/>
            </w:pPr>
            <w:r>
              <w:rPr/>
              <w:t>Josiah Craver*</w:t>
            </w:r>
          </w:p>
        </w:tc>
        <w:tc>
          <w:tcPr>
            <w:tcW w:w="120" w:type="dxa"/>
            <w:tcBorders/>
            <w:shd w:fill="CCEEFF" w:val="clear"/>
            <w:vAlign w:val="center"/>
          </w:tcPr>
          <w:p>
            <w:pPr>
              <w:pStyle w:val="TableContents"/>
              <w:bidi w:val="0"/>
              <w:spacing w:before="0" w:after="283"/>
              <w:jc w:val="left"/>
              <w:rPr/>
            </w:pPr>
            <w:r>
              <w:rPr/>
              <w:t>  </w:t>
            </w:r>
          </w:p>
        </w:tc>
        <w:tc>
          <w:tcPr>
            <w:tcW w:w="2960" w:type="dxa"/>
            <w:tcBorders/>
            <w:shd w:fill="CCEEFF" w:val="clear"/>
            <w:vAlign w:val="center"/>
          </w:tcPr>
          <w:p>
            <w:pPr>
              <w:pStyle w:val="TableContents"/>
              <w:bidi w:val="0"/>
              <w:spacing w:before="0" w:after="283"/>
              <w:jc w:val="left"/>
              <w:rPr/>
            </w:pPr>
            <w:r>
              <w:rPr/>
              <w:t>Senior Vice President, Finance</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2545" w:type="dxa"/>
            <w:tcBorders/>
            <w:shd w:fill="CCEEFF" w:val="clear"/>
            <w:vAlign w:val="center"/>
          </w:tcPr>
          <w:p>
            <w:pPr>
              <w:pStyle w:val="TableContents"/>
              <w:bidi w:val="0"/>
              <w:spacing w:before="0" w:after="283"/>
              <w:jc w:val="right"/>
              <w:rPr/>
            </w:pPr>
            <w:r>
              <w:rPr/>
              <w:t>30,824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i/>
              </w:rPr>
            </w:pPr>
            <w:r>
              <w:rPr>
                <w:i/>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Although Messrs. Gerry and Craver were “named executive officers” of the Company for the year ended December 31, 2025, the Board determined in June 2026 that neither Mr. Gerry nor Mr. Craver is an “executive officer” of the Company as such term is defined in Rule 3b-7 promulgated under the Securities Exchange Act of 1934, as amended.</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exercise price per share of each Performance Option is equal to the closing price of the Company’s common stock as reported by the Nasdaq Stock Market on the date of grant. Each Performance Option vests and becomes exercisable, if at all, in a single tranche on the later of (a) the date on which the Stock Price Hurdle (as defined below) is achieved (or deemed achieved) and (b) the first anniversary of the date of grant, in each case subject to the holder’s continued service with the Company through such date. The “Stock Price Hurdle” is achieved on the first date during the period that ends on the fourth anniversary of the date of grant (the “Performance Period”) on which the average of the closing prices per share of the Company’s common stock on the Nasdaq Stock Market on each trading day during any 30 consecutive calendar-day period equals or exceeds $70.00, subject to equitable adjustment in connection with any stock split, reverse stock split, stock dividend, recapitalization, reorganization or similar transaction. If the Stock Price Hurdle is not achieved by the end of the Performance Period, or upon the termination of the holder’s continued service with the Company for any reason before the Performance Option has vested, the Performance Option will be forfeited in its entirety.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change in control of the Company prior to the end of the Performance Period, the Stock Price Hurdle will be deemed achieved if the per-share consideration payable in the transaction equals or exceeds $70.00 (subject to equitable adjustment), and the Performance Option will vest in full immediately prior to the consummation of the change in control, subject to the holder’s continued service through such time. If the Stock Price Hurdle is not achieved or deemed achieved in connection with such change in control, the Performance Option will be forfeited in its entirety.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1895"/>
        <w:gridCol w:w="60"/>
        <w:gridCol w:w="60"/>
        <w:gridCol w:w="60"/>
        <w:gridCol w:w="60"/>
        <w:gridCol w:w="60"/>
        <w:gridCol w:w="2975"/>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b/>
              </w:rPr>
            </w:pPr>
            <w:r>
              <w:rPr>
                <w:b/>
              </w:rPr>
              <w:t>Faeth Therapeutics,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303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23,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Christopher W. Gerry</w:t>
            </w:r>
          </w:p>
        </w:tc>
      </w:tr>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Christopher W. Gerry</w:t>
            </w:r>
          </w:p>
        </w:tc>
      </w:tr>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General Counsel and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829</Words>
  <Characters>4461</Characters>
  <CharactersWithSpaces>5303</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