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6162026_080615.xml.htm"/>
      <w:bookmarkStart w:id="1" w:name="ksform306162026_08061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Ramasastry Saira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FAETH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TILLERY STREET #12 #1010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06/12/2026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Sensei Biotherapeutics, Inc.</w:t>
              </w:r>
            </w:hyperlink>
            <w:r>
              <w:rPr/>
              <w:t xml:space="preserve"> [ </w:t>
            </w:r>
            <w:r>
              <w:rPr>
                <w:rFonts w:ascii="Times;serif" w:hAnsi="Times;serif"/>
                <w:color w:val="0000FF"/>
                <w:sz w:val="24"/>
                <w:shd w:fill="FFFFFF" w:val="clear"/>
              </w:rPr>
              <w:t>FTH</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8,718</w:t>
            </w:r>
            <w:r>
              <w:rPr>
                <w:rFonts w:ascii="Times;serif" w:hAnsi="Times;serif"/>
                <w:color w:val="008000"/>
                <w:position w:val="7"/>
                <w:sz w:val="16"/>
                <w:sz w:val="20"/>
                <w:shd w:fill="FFFFFF" w:val="clear"/>
              </w:rPr>
              <w:t>(2)(3)</w:t>
            </w:r>
            <w:r>
              <w:rPr/>
              <w:t xml:space="preserve"> </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05/10/2034</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5,929</w:t>
            </w:r>
            <w:r>
              <w:rPr>
                <w:rFonts w:ascii="Times;serif" w:hAnsi="Times;serif"/>
                <w:color w:val="008000"/>
                <w:position w:val="7"/>
                <w:sz w:val="16"/>
                <w:sz w:val="20"/>
                <w:shd w:fill="FFFFFF" w:val="clear"/>
              </w:rPr>
              <w:t>(3)(5)</w:t>
            </w:r>
            <w:r>
              <w:rPr/>
              <w:t xml:space="preserve"> </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Beginning August 1, 2022, the shares subject to the option vest in a series of twenty-four (24) successive equal monthly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Received in exchange for or a stock option to acquire an aggregate 43,739 shares of Faeth Holdings Therapeutics, Inc. ("HoldCo") common stock with an exercise price of $0.23 per share pursuant to an Agreement and Plan of Merger, dated February 17, 2026 (the "Merger Agreement"), by and among the Company, Sapphire First Merger Sub, Inc., a Delaware corporation and a wholly owned subsidiary of the Company ("First Merger Sub"), Sapphire Second Merger Sub, LLC, a Delaware limited liability company and wholly owned subsidiary of the Company ("Second Merger Sub"), HoldCo and Faeth Therapeutics, LLC, a Delaware limited liability company and wholly owned subsidiary of HoldCo ("Faeth").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Under the terms of the Merger Agreement, on February 17, 2026, First Merger Sub merged with and into HoldCo, with HoldCo surviving the first merger as a wholly owned subsidiary of the Company, and immediately following the first merger, HoldCo merged with and into Second Merger Sub, with Second Merger Sub surviving the second merger as a wholly owned subsidiary of the Company (such mergers,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Received in exchange for a stock option to acquire an aggregate 29,746 shares of Faeth common stock with an exercise price of $1.04 per share pursuant to the Merger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Josiah Craver,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6162026_080621.htm"/>
      <w:bookmarkStart w:id="3" w:name="ksex2406162026_080621"/>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Forms 3, 4, and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Christopher Gerry and Josiah Craver of Sensei Biotherapeutics,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attorneys-in-fact and agents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Forms 3, 4 and 5 (including any amendments thereto)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more than 10% of a registered class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8, 2026</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65"/>
        <w:gridCol w:w="1925"/>
        <w:gridCol w:w="75"/>
      </w:tblGrid>
      <w:tr>
        <w:trPr/>
        <w:tc>
          <w:tcPr>
            <w:tcW w:w="665" w:type="dxa"/>
            <w:tcBorders/>
            <w:vAlign w:val="center"/>
          </w:tcPr>
          <w:p>
            <w:pPr>
              <w:pStyle w:val="TableContents"/>
              <w:bidi w:val="0"/>
              <w:spacing w:before="0" w:after="283"/>
              <w:jc w:val="left"/>
              <w:rPr/>
            </w:pPr>
            <w:r>
              <w:rPr/>
              <w:t>By:</w:t>
            </w:r>
          </w:p>
        </w:tc>
        <w:tc>
          <w:tcPr>
            <w:tcW w:w="1925" w:type="dxa"/>
            <w:tcBorders>
              <w:bottom w:val="single" w:sz="8" w:space="0" w:color="000000"/>
            </w:tcBorders>
            <w:tcMar>
              <w:bottom w:w="28" w:type="dxa"/>
            </w:tcMar>
            <w:vAlign w:val="center"/>
          </w:tcPr>
          <w:p>
            <w:pPr>
              <w:pStyle w:val="TableContents"/>
              <w:bidi w:val="0"/>
              <w:spacing w:before="0" w:after="283"/>
              <w:jc w:val="left"/>
              <w:rPr/>
            </w:pPr>
            <w:r>
              <w:rPr/>
              <w:t>/s/ Saira Ramasastry</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Name:</w:t>
            </w:r>
          </w:p>
        </w:tc>
        <w:tc>
          <w:tcPr>
            <w:tcW w:w="1925" w:type="dxa"/>
            <w:tcBorders/>
            <w:vAlign w:val="center"/>
          </w:tcPr>
          <w:p>
            <w:pPr>
              <w:pStyle w:val="TableContents"/>
              <w:bidi w:val="0"/>
              <w:spacing w:before="0" w:after="283"/>
              <w:jc w:val="left"/>
              <w:rPr/>
            </w:pPr>
            <w:r>
              <w:rPr/>
              <w:t>Saira Ramasastry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47959" TargetMode="External"/><Relationship Id="rId3" Type="http://schemas.openxmlformats.org/officeDocument/2006/relationships/hyperlink" Target="http://www.sec.gov/cgi-bin/browse-edgar?action=getcompany&amp;CIK=00018298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1156</Words>
  <Characters>6157</Characters>
  <CharactersWithSpaces>7279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