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369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36981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STEPHENSON BRIAN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FAETH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701 TILLERY STREET #12 #1010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Faeth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AUSTIN</w:t>
            </w:r>
          </w:p>
        </w:tc>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78702</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5"/>
          </w:tcPr>
          <w:p>
            <w:pPr>
              <w:jc w:val="right"/>
              <w:ind w:righ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ind w:right="8"/>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2,891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25.22</w:t>
            </w:r>
            <w:r>
              <w:rPr>
                <w:rFonts w:ascii="Times New Roman" w:cs="Times New Roman" w:eastAsia="Times New Roman" w:hAnsi="Times New Roman"/>
                <w:sz w:val="22"/>
                <w:szCs w:val="22"/>
                <w:color w:val="008000"/>
                <w:w w:val="95"/>
                <w:vertAlign w:val="superscript"/>
              </w:rPr>
              <w:t>(1)</w:t>
            </w: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20,304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3,000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25.98</w:t>
            </w:r>
            <w:r>
              <w:rPr>
                <w:rFonts w:ascii="Times New Roman" w:cs="Times New Roman" w:eastAsia="Times New Roman" w:hAnsi="Times New Roman"/>
                <w:sz w:val="22"/>
                <w:szCs w:val="22"/>
                <w:color w:val="008000"/>
                <w:w w:val="95"/>
                <w:vertAlign w:val="superscript"/>
              </w:rPr>
              <w:t>(3)</w:t>
            </w: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23,304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3,400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26.98</w:t>
            </w:r>
            <w:r>
              <w:rPr>
                <w:rFonts w:ascii="Times New Roman" w:cs="Times New Roman" w:eastAsia="Times New Roman" w:hAnsi="Times New Roman"/>
                <w:sz w:val="22"/>
                <w:szCs w:val="22"/>
                <w:color w:val="008000"/>
                <w:w w:val="95"/>
                <w:vertAlign w:val="superscript"/>
              </w:rPr>
              <w:t>(4)</w:t>
            </w: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26,704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gridSpan w:val="2"/>
            <w:vMerge w:val="restart"/>
          </w:tcPr>
          <w:p>
            <w:pPr>
              <w:jc w:val="center"/>
              <w:ind w:left="2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27.77</w:t>
            </w:r>
          </w:p>
        </w:tc>
        <w:tc>
          <w:tcPr>
            <w:tcW w:w="120" w:type="dxa"/>
            <w:vAlign w:val="bottom"/>
          </w:tcPr>
          <w:p>
            <w:pPr>
              <w:spacing w:after="0"/>
              <w:rPr>
                <w:sz w:val="21"/>
                <w:szCs w:val="21"/>
                <w:color w:val="auto"/>
              </w:rPr>
            </w:pP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26,804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840" w:type="dxa"/>
            <w:vAlign w:val="bottom"/>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06/26/2026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580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23.61</w:t>
            </w:r>
            <w:r>
              <w:rPr>
                <w:rFonts w:ascii="Times New Roman" w:cs="Times New Roman" w:eastAsia="Times New Roman" w:hAnsi="Times New Roman"/>
                <w:sz w:val="22"/>
                <w:szCs w:val="22"/>
                <w:color w:val="008000"/>
                <w:w w:val="95"/>
                <w:vertAlign w:val="superscript"/>
              </w:rPr>
              <w:t>(5)</w:t>
            </w: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27,384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06/26/2026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4,212</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24.9</w:t>
            </w:r>
            <w:r>
              <w:rPr>
                <w:rFonts w:ascii="Times New Roman" w:cs="Times New Roman" w:eastAsia="Times New Roman" w:hAnsi="Times New Roman"/>
                <w:sz w:val="22"/>
                <w:szCs w:val="22"/>
                <w:color w:val="008000"/>
                <w:w w:val="92"/>
                <w:vertAlign w:val="superscript"/>
              </w:rPr>
              <w:t>(6)</w:t>
            </w: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31,596</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06/26/2026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1,358</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25.55</w:t>
            </w:r>
            <w:r>
              <w:rPr>
                <w:rFonts w:ascii="Times New Roman" w:cs="Times New Roman" w:eastAsia="Times New Roman" w:hAnsi="Times New Roman"/>
                <w:sz w:val="22"/>
                <w:szCs w:val="22"/>
                <w:color w:val="008000"/>
                <w:w w:val="95"/>
                <w:vertAlign w:val="superscript"/>
              </w:rPr>
              <w:t>(7)</w:t>
            </w: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32,954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06/26/2026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gridSpan w:val="2"/>
            <w:vMerge w:val="restart"/>
          </w:tcPr>
          <w:p>
            <w:pPr>
              <w:jc w:val="center"/>
              <w:ind w:left="2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26.39</w:t>
            </w:r>
          </w:p>
        </w:tc>
        <w:tc>
          <w:tcPr>
            <w:tcW w:w="120" w:type="dxa"/>
            <w:vAlign w:val="bottom"/>
          </w:tcPr>
          <w:p>
            <w:pPr>
              <w:spacing w:after="0"/>
              <w:rPr>
                <w:sz w:val="21"/>
                <w:szCs w:val="21"/>
                <w:color w:val="auto"/>
              </w:rPr>
            </w:pP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33,054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840" w:type="dxa"/>
            <w:vAlign w:val="bottom"/>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13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$24.50 to $25.435, inclusive. The Reporting Person undertakes to provide to the Issuer, any security holder of the Issuer, or the staff of the Securities and Exchange Commission, upon request, full information regarding the number of shares purchased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Brian Stephenson Revocable Trust (the "Trust"), of which the Reporting Person is the sole trustee and has sole voting and investment power over all securities owned by the Trust. The Reporting Person disclaims beneficial ownership of the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$25.58 to $26.57, inclusive. The Reporting Person undertakes to provide to the Issuer, any security holder of the Issuer, or the staff of the Securities and Exchange Commission, upon request, full information regarding the number of shares purchased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$26.61 to $27.52, inclusive. The Reporting Person undertakes to provide to the Issuer, any security holder of the Issuer, or the staff of the Securities and Exchange Commission, upon request, full information regarding the number of shares purchased at each separate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price within the range.</w:t>
      </w:r>
    </w:p>
    <w:p>
      <w:pPr>
        <w:spacing w:after="0" w:line="50" w:lineRule="exact"/>
        <w:rPr>
          <w:sz w:val="20"/>
          <w:szCs w:val="20"/>
          <w:color w:val="auto"/>
        </w:rPr>
      </w:pPr>
    </w:p>
    <w:p>
      <w:pPr>
        <w:jc w:val="both"/>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$23.27 to $24.1663, inclusive. The Reporting Person undertakes to provide to the Issuer, any security holder of the Issuer, or the staff of the Securities and Exchange Commission, upon request, full information regarding the number of shares purchased at each separate price within the range.</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$24.27 to $25.2405, inclusive. The Reporting Person undertakes to provide to the Issuer, any security holder of the Issuer, or the staff of the Securities and Exchange Commission, upon request, full information regarding the number of shares purchased at each separate price within the range.</w:t>
      </w:r>
    </w:p>
    <w:p>
      <w:pPr>
        <w:spacing w:after="0" w:line="20" w:lineRule="exact"/>
        <w:rPr>
          <w:rFonts w:ascii="Times New Roman" w:cs="Times New Roman" w:eastAsia="Times New Roman" w:hAnsi="Times New Roman"/>
          <w:sz w:val="13"/>
          <w:szCs w:val="13"/>
          <w:color w:val="008000"/>
        </w:rPr>
      </w:pPr>
    </w:p>
    <w:p>
      <w:pPr>
        <w:jc w:val="both"/>
        <w:ind w:right="40" w:firstLine="7"/>
        <w:spacing w:after="0" w:line="249"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$25.335 to $26.00, inclusive. The Reporting Person undertakes to provide to the Issuer, any security holder of the Issuer, or the staff of the Securities and Exchange Commission, upon request, full information regarding the number of shares purchased at each separate price within the range.</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Josiah Craver, Attorney-in-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3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0030" TargetMode="External"/><Relationship Id="rId14"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2026-06-26T18:48:17Z</dcterms:created>
  <dcterms:modified xsi:type="dcterms:W3CDTF">2026-06-26T18:48:17Z</dcterms:modified>
</cp:coreProperties>
</file>